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76"/>
        <w:gridCol w:w="4184"/>
        <w:gridCol w:w="3780"/>
      </w:tblGrid>
      <w:tr w:rsidR="005D6C56" w:rsidRPr="000139EF" w:rsidTr="004D705F">
        <w:trPr>
          <w:trHeight w:val="1817"/>
        </w:trPr>
        <w:tc>
          <w:tcPr>
            <w:tcW w:w="1576" w:type="dxa"/>
          </w:tcPr>
          <w:p w:rsidR="005D6C56" w:rsidRPr="000139EF" w:rsidRDefault="00207761" w:rsidP="00FF3E18">
            <w:pPr>
              <w:spacing w:before="80"/>
            </w:pPr>
            <w:bookmarkStart w:id="0" w:name="_GoBack"/>
            <w:bookmarkEnd w:id="0"/>
            <w:r>
              <w:rPr>
                <w:noProof/>
              </w:rPr>
              <w:drawing>
                <wp:inline distT="0" distB="0" distL="0" distR="0">
                  <wp:extent cx="675640" cy="771525"/>
                  <wp:effectExtent l="0" t="0" r="0" b="9525"/>
                  <wp:docPr id="3" name="Bilde 3" descr="Lyngen kommunevapen 85x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ngen kommunevapen 85x9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771525"/>
                          </a:xfrm>
                          <a:prstGeom prst="rect">
                            <a:avLst/>
                          </a:prstGeom>
                          <a:noFill/>
                          <a:ln>
                            <a:noFill/>
                          </a:ln>
                        </pic:spPr>
                      </pic:pic>
                    </a:graphicData>
                  </a:graphic>
                </wp:inline>
              </w:drawing>
            </w:r>
          </w:p>
        </w:tc>
        <w:tc>
          <w:tcPr>
            <w:tcW w:w="4184" w:type="dxa"/>
          </w:tcPr>
          <w:p w:rsidR="005D6C56" w:rsidRPr="000139EF" w:rsidRDefault="00207761" w:rsidP="00B63C04">
            <w:pPr>
              <w:spacing w:before="120"/>
              <w:rPr>
                <w:rFonts w:cs="Arial"/>
                <w:b/>
                <w:sz w:val="28"/>
                <w:szCs w:val="28"/>
              </w:rPr>
            </w:pPr>
            <w:r>
              <w:rPr>
                <w:rFonts w:cs="Arial"/>
                <w:b/>
                <w:sz w:val="28"/>
                <w:szCs w:val="28"/>
              </w:rPr>
              <w:t>Lyngen</w:t>
            </w:r>
            <w:r w:rsidR="00D24BAB" w:rsidRPr="000139EF">
              <w:rPr>
                <w:rFonts w:cs="Arial"/>
                <w:b/>
                <w:sz w:val="28"/>
                <w:szCs w:val="28"/>
              </w:rPr>
              <w:t xml:space="preserve"> kommune</w:t>
            </w:r>
          </w:p>
        </w:tc>
        <w:tc>
          <w:tcPr>
            <w:tcW w:w="3780" w:type="dxa"/>
          </w:tcPr>
          <w:p w:rsidR="00D24BAB" w:rsidRPr="000139EF" w:rsidRDefault="00D24BAB" w:rsidP="00D24BAB">
            <w:pPr>
              <w:tabs>
                <w:tab w:val="left" w:pos="1459"/>
              </w:tabs>
              <w:spacing w:before="120"/>
              <w:rPr>
                <w:sz w:val="20"/>
                <w:szCs w:val="20"/>
              </w:rPr>
            </w:pPr>
            <w:r w:rsidRPr="000139EF">
              <w:rPr>
                <w:rFonts w:cs="Arial"/>
                <w:sz w:val="20"/>
                <w:szCs w:val="20"/>
              </w:rPr>
              <w:t>Arkiv</w:t>
            </w:r>
            <w:r w:rsidR="004D705F" w:rsidRPr="000139EF">
              <w:rPr>
                <w:rFonts w:cs="Arial"/>
                <w:sz w:val="20"/>
                <w:szCs w:val="20"/>
              </w:rPr>
              <w:t>saknr</w:t>
            </w:r>
            <w:r w:rsidRPr="000139EF">
              <w:rPr>
                <w:sz w:val="20"/>
                <w:szCs w:val="20"/>
              </w:rPr>
              <w:t>:</w:t>
            </w:r>
            <w:r w:rsidRPr="000139EF">
              <w:rPr>
                <w:sz w:val="20"/>
                <w:szCs w:val="20"/>
              </w:rPr>
              <w:tab/>
            </w:r>
            <w:bookmarkStart w:id="1" w:name="SAKSNR"/>
            <w:r w:rsidR="008336D4">
              <w:rPr>
                <w:sz w:val="20"/>
                <w:szCs w:val="20"/>
              </w:rPr>
              <w:t>2015/15</w:t>
            </w:r>
            <w:bookmarkEnd w:id="1"/>
            <w:r w:rsidR="004D705F" w:rsidRPr="000139EF">
              <w:rPr>
                <w:sz w:val="20"/>
                <w:szCs w:val="20"/>
              </w:rPr>
              <w:t xml:space="preserve"> -</w:t>
            </w:r>
            <w:bookmarkStart w:id="2" w:name="NRISAK"/>
            <w:r w:rsidR="008336D4">
              <w:rPr>
                <w:sz w:val="20"/>
                <w:szCs w:val="20"/>
              </w:rPr>
              <w:t>43</w:t>
            </w:r>
            <w:bookmarkEnd w:id="2"/>
          </w:p>
          <w:p w:rsidR="00D24BAB" w:rsidRPr="000139EF" w:rsidRDefault="00D24BAB" w:rsidP="00D24BAB">
            <w:pPr>
              <w:tabs>
                <w:tab w:val="left" w:pos="1459"/>
              </w:tabs>
              <w:spacing w:before="120"/>
              <w:rPr>
                <w:sz w:val="20"/>
                <w:szCs w:val="20"/>
              </w:rPr>
            </w:pPr>
            <w:r w:rsidRPr="000139EF">
              <w:rPr>
                <w:rFonts w:cs="Arial"/>
                <w:sz w:val="20"/>
                <w:szCs w:val="20"/>
              </w:rPr>
              <w:t>Arkiv</w:t>
            </w:r>
            <w:r w:rsidRPr="000139EF">
              <w:rPr>
                <w:sz w:val="20"/>
                <w:szCs w:val="20"/>
              </w:rPr>
              <w:t>:</w:t>
            </w:r>
            <w:r w:rsidRPr="000139EF">
              <w:rPr>
                <w:sz w:val="20"/>
                <w:szCs w:val="20"/>
              </w:rPr>
              <w:tab/>
            </w:r>
            <w:bookmarkStart w:id="3" w:name="PRIMÆRKLASSERING"/>
            <w:r w:rsidR="008336D4">
              <w:rPr>
                <w:sz w:val="20"/>
                <w:szCs w:val="20"/>
              </w:rPr>
              <w:t>L12</w:t>
            </w:r>
            <w:bookmarkEnd w:id="3"/>
          </w:p>
          <w:p w:rsidR="00D24BAB" w:rsidRPr="000139EF" w:rsidRDefault="00D24BAB" w:rsidP="00D24BAB">
            <w:pPr>
              <w:tabs>
                <w:tab w:val="left" w:pos="1459"/>
              </w:tabs>
              <w:spacing w:before="120"/>
              <w:rPr>
                <w:sz w:val="20"/>
                <w:szCs w:val="20"/>
              </w:rPr>
            </w:pPr>
            <w:r w:rsidRPr="000139EF">
              <w:rPr>
                <w:rFonts w:cs="Arial"/>
                <w:sz w:val="20"/>
                <w:szCs w:val="20"/>
              </w:rPr>
              <w:t>Saksbehandler</w:t>
            </w:r>
            <w:r w:rsidRPr="000139EF">
              <w:rPr>
                <w:sz w:val="20"/>
                <w:szCs w:val="20"/>
              </w:rPr>
              <w:t>:</w:t>
            </w:r>
            <w:r w:rsidR="004D705F" w:rsidRPr="000139EF">
              <w:rPr>
                <w:sz w:val="20"/>
                <w:szCs w:val="20"/>
              </w:rPr>
              <w:t xml:space="preserve">  </w:t>
            </w:r>
            <w:bookmarkStart w:id="4" w:name="SAKSBEHANDLERNAVN"/>
            <w:r w:rsidR="008336D4">
              <w:rPr>
                <w:sz w:val="20"/>
                <w:szCs w:val="20"/>
              </w:rPr>
              <w:t>Viggo Jørn Dale</w:t>
            </w:r>
            <w:bookmarkEnd w:id="4"/>
          </w:p>
          <w:p w:rsidR="002C2290" w:rsidRPr="000139EF" w:rsidRDefault="00D24BAB" w:rsidP="00D24BAB">
            <w:pPr>
              <w:tabs>
                <w:tab w:val="left" w:pos="1459"/>
              </w:tabs>
              <w:spacing w:before="120"/>
              <w:rPr>
                <w:sz w:val="20"/>
                <w:szCs w:val="20"/>
              </w:rPr>
            </w:pPr>
            <w:r w:rsidRPr="000139EF">
              <w:rPr>
                <w:sz w:val="20"/>
                <w:szCs w:val="20"/>
              </w:rPr>
              <w:t xml:space="preserve"> </w:t>
            </w:r>
            <w:r w:rsidR="004D705F" w:rsidRPr="000139EF">
              <w:rPr>
                <w:sz w:val="20"/>
                <w:szCs w:val="20"/>
              </w:rPr>
              <w:t xml:space="preserve">Dato:                 </w:t>
            </w:r>
            <w:bookmarkStart w:id="5" w:name="BREVDATO"/>
            <w:r w:rsidR="008336D4">
              <w:rPr>
                <w:sz w:val="20"/>
                <w:szCs w:val="20"/>
              </w:rPr>
              <w:t>19.05.2016</w:t>
            </w:r>
            <w:bookmarkEnd w:id="5"/>
          </w:p>
        </w:tc>
      </w:tr>
    </w:tbl>
    <w:p w:rsidR="002C2290" w:rsidRPr="000139EF" w:rsidRDefault="002C2290"/>
    <w:p w:rsidR="006A0E78" w:rsidRPr="000139EF" w:rsidRDefault="006A0E78" w:rsidP="002C2290">
      <w:pPr>
        <w:jc w:val="right"/>
        <w:rPr>
          <w:rFonts w:cs="Arial"/>
          <w:b/>
        </w:rPr>
      </w:pPr>
      <w:bookmarkStart w:id="6" w:name="UOFFPARAGRAF"/>
      <w:bookmarkEnd w:id="6"/>
    </w:p>
    <w:p w:rsidR="006A0E78" w:rsidRPr="000139EF" w:rsidRDefault="006A0E78" w:rsidP="002C2290">
      <w:pPr>
        <w:jc w:val="right"/>
        <w:rPr>
          <w:rFonts w:cs="Arial"/>
        </w:rPr>
      </w:pPr>
    </w:p>
    <w:p w:rsidR="002C2290" w:rsidRPr="000139EF" w:rsidRDefault="002C2290" w:rsidP="004D705F">
      <w:pPr>
        <w:jc w:val="center"/>
        <w:rPr>
          <w:rFonts w:cs="Arial"/>
          <w:b/>
          <w:sz w:val="32"/>
          <w:szCs w:val="32"/>
        </w:rPr>
      </w:pPr>
      <w:r w:rsidRPr="000139EF">
        <w:rPr>
          <w:rFonts w:cs="Arial"/>
          <w:b/>
          <w:sz w:val="32"/>
          <w:szCs w:val="32"/>
        </w:rPr>
        <w:t>Saksfr</w:t>
      </w:r>
      <w:r w:rsidR="00D24BAB" w:rsidRPr="000139EF">
        <w:rPr>
          <w:rFonts w:cs="Arial"/>
          <w:b/>
          <w:sz w:val="32"/>
          <w:szCs w:val="32"/>
        </w:rPr>
        <w:t>e</w:t>
      </w:r>
      <w:r w:rsidRPr="000139EF">
        <w:rPr>
          <w:rFonts w:cs="Arial"/>
          <w:b/>
          <w:sz w:val="32"/>
          <w:szCs w:val="32"/>
        </w:rPr>
        <w:t>mlegg</w:t>
      </w:r>
    </w:p>
    <w:p w:rsidR="006A0E78" w:rsidRPr="000139EF" w:rsidRDefault="006A0E78" w:rsidP="002C2290">
      <w:pPr>
        <w:jc w:val="right"/>
        <w:rPr>
          <w:rFonts w:cs="Arial"/>
        </w:rPr>
      </w:pPr>
    </w:p>
    <w:p w:rsidR="006A0E78" w:rsidRPr="000139EF" w:rsidRDefault="006A0E78" w:rsidP="006A0E78">
      <w:pPr>
        <w:rPr>
          <w:b/>
          <w:lang w:val="en-GB"/>
        </w:rPr>
      </w:pPr>
    </w:p>
    <w:tbl>
      <w:tblPr>
        <w:tblStyle w:val="Tabellrutenett"/>
        <w:tblW w:w="93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1439"/>
        <w:gridCol w:w="6625"/>
        <w:gridCol w:w="1296"/>
      </w:tblGrid>
      <w:tr w:rsidR="00B83366" w:rsidRPr="000139EF" w:rsidTr="004D705F">
        <w:tc>
          <w:tcPr>
            <w:tcW w:w="1440" w:type="dxa"/>
            <w:tcBorders>
              <w:top w:val="double" w:sz="4" w:space="0" w:color="auto"/>
            </w:tcBorders>
            <w:shd w:val="clear" w:color="auto" w:fill="auto"/>
          </w:tcPr>
          <w:p w:rsidR="00B83366" w:rsidRPr="000139EF" w:rsidRDefault="00B83366">
            <w:bookmarkStart w:id="7" w:name="FastTabell"/>
            <w:bookmarkEnd w:id="7"/>
            <w:r w:rsidRPr="000139EF">
              <w:t>Utvalg</w:t>
            </w:r>
            <w:r w:rsidR="004D705F" w:rsidRPr="000139EF">
              <w:t>ssak</w:t>
            </w:r>
          </w:p>
        </w:tc>
        <w:tc>
          <w:tcPr>
            <w:tcW w:w="6642" w:type="dxa"/>
            <w:tcBorders>
              <w:top w:val="double" w:sz="4" w:space="0" w:color="auto"/>
            </w:tcBorders>
          </w:tcPr>
          <w:p w:rsidR="00B83366" w:rsidRPr="000139EF" w:rsidRDefault="00B83366" w:rsidP="00BD4967">
            <w:r w:rsidRPr="000139EF">
              <w:t>Utvalgs</w:t>
            </w:r>
            <w:r w:rsidR="004D705F" w:rsidRPr="000139EF">
              <w:t>navn</w:t>
            </w:r>
          </w:p>
        </w:tc>
        <w:tc>
          <w:tcPr>
            <w:tcW w:w="1278" w:type="dxa"/>
            <w:tcBorders>
              <w:top w:val="double" w:sz="4" w:space="0" w:color="auto"/>
            </w:tcBorders>
            <w:shd w:val="clear" w:color="auto" w:fill="auto"/>
          </w:tcPr>
          <w:p w:rsidR="00B83366" w:rsidRPr="000139EF" w:rsidRDefault="00B83366">
            <w:r w:rsidRPr="000139EF">
              <w:t>Møtedato</w:t>
            </w:r>
          </w:p>
        </w:tc>
      </w:tr>
      <w:tr w:rsidR="00B83366" w:rsidRPr="000139EF" w:rsidTr="004D705F">
        <w:tc>
          <w:tcPr>
            <w:tcW w:w="1440" w:type="dxa"/>
            <w:shd w:val="clear" w:color="auto" w:fill="auto"/>
          </w:tcPr>
          <w:p w:rsidR="00B83366" w:rsidRPr="000139EF" w:rsidRDefault="00F76C85">
            <w:bookmarkStart w:id="8" w:name="Saksgang"/>
            <w:bookmarkEnd w:id="8"/>
            <w:r>
              <w:t>86/16</w:t>
            </w:r>
          </w:p>
        </w:tc>
        <w:tc>
          <w:tcPr>
            <w:tcW w:w="6642" w:type="dxa"/>
          </w:tcPr>
          <w:p w:rsidR="00B83366" w:rsidRPr="000139EF" w:rsidRDefault="00F76C85" w:rsidP="00BD4967">
            <w:r>
              <w:t>Lyngen formannskap</w:t>
            </w:r>
          </w:p>
        </w:tc>
        <w:tc>
          <w:tcPr>
            <w:tcW w:w="1278" w:type="dxa"/>
            <w:shd w:val="clear" w:color="auto" w:fill="auto"/>
          </w:tcPr>
          <w:p w:rsidR="00B83366" w:rsidRPr="000139EF" w:rsidRDefault="00F76C85" w:rsidP="00FF3E18">
            <w:pPr>
              <w:jc w:val="center"/>
            </w:pPr>
            <w:r>
              <w:t>31.05.2016</w:t>
            </w:r>
          </w:p>
        </w:tc>
      </w:tr>
      <w:tr w:rsidR="009E733B" w:rsidRPr="000139EF" w:rsidTr="004D705F">
        <w:tc>
          <w:tcPr>
            <w:tcW w:w="1440" w:type="dxa"/>
            <w:shd w:val="clear" w:color="auto" w:fill="auto"/>
          </w:tcPr>
          <w:p w:rsidR="009E733B" w:rsidRPr="000139EF" w:rsidRDefault="00F76C85">
            <w:r>
              <w:t>44/16</w:t>
            </w:r>
          </w:p>
        </w:tc>
        <w:tc>
          <w:tcPr>
            <w:tcW w:w="6642" w:type="dxa"/>
          </w:tcPr>
          <w:p w:rsidR="009E733B" w:rsidRDefault="00F76C85" w:rsidP="00BD4967">
            <w:r>
              <w:t>Lyngen kommunestyre</w:t>
            </w:r>
          </w:p>
        </w:tc>
        <w:tc>
          <w:tcPr>
            <w:tcW w:w="1278" w:type="dxa"/>
            <w:shd w:val="clear" w:color="auto" w:fill="auto"/>
          </w:tcPr>
          <w:p w:rsidR="009E733B" w:rsidRPr="000139EF" w:rsidRDefault="00F76C85" w:rsidP="00FF3E18">
            <w:pPr>
              <w:jc w:val="center"/>
            </w:pPr>
            <w:r>
              <w:t>14.06.2016</w:t>
            </w:r>
          </w:p>
        </w:tc>
      </w:tr>
    </w:tbl>
    <w:p w:rsidR="00D113E5" w:rsidRPr="000139EF" w:rsidRDefault="00D113E5" w:rsidP="00D24BAB"/>
    <w:p w:rsidR="001F401F" w:rsidRPr="000139EF" w:rsidRDefault="008336D4" w:rsidP="001F401F">
      <w:pPr>
        <w:pStyle w:val="Overskrift1"/>
        <w:rPr>
          <w:sz w:val="28"/>
        </w:rPr>
      </w:pPr>
      <w:bookmarkStart w:id="9" w:name="TITTEL"/>
      <w:r>
        <w:rPr>
          <w:sz w:val="28"/>
        </w:rPr>
        <w:t>Detaljreguleringsplan for Tyttebærvika industriområde - 2. gangsbehandling</w:t>
      </w:r>
      <w:bookmarkEnd w:id="9"/>
    </w:p>
    <w:p w:rsidR="00E71B0D" w:rsidRPr="00E025F6" w:rsidRDefault="00D518DB" w:rsidP="00E71B0D">
      <w:pPr>
        <w:rPr>
          <w:b/>
          <w:u w:val="single"/>
        </w:rPr>
      </w:pPr>
      <w:r w:rsidRPr="00E025F6">
        <w:rPr>
          <w:b/>
          <w:u w:val="single"/>
        </w:rPr>
        <w:t>Henvisning til lovverk:</w:t>
      </w:r>
    </w:p>
    <w:p w:rsidR="00E71B0D" w:rsidRPr="000139EF" w:rsidRDefault="00E71B0D" w:rsidP="00E71B0D"/>
    <w:p w:rsidR="00D24BAB" w:rsidRDefault="0082679E" w:rsidP="0082679E">
      <w:pPr>
        <w:pStyle w:val="Listeavsnitt"/>
        <w:numPr>
          <w:ilvl w:val="0"/>
          <w:numId w:val="5"/>
        </w:numPr>
      </w:pPr>
      <w:r>
        <w:t>Plan- og bygningsloven</w:t>
      </w:r>
    </w:p>
    <w:p w:rsidR="00C72AE3" w:rsidRDefault="00C72AE3" w:rsidP="00C72AE3">
      <w:pPr>
        <w:pStyle w:val="Listeavsnitt"/>
        <w:ind w:left="360"/>
      </w:pPr>
    </w:p>
    <w:tbl>
      <w:tblPr>
        <w:tblW w:w="9368" w:type="dxa"/>
        <w:tblInd w:w="70" w:type="dxa"/>
        <w:tblLayout w:type="fixed"/>
        <w:tblCellMar>
          <w:left w:w="70" w:type="dxa"/>
          <w:right w:w="70" w:type="dxa"/>
        </w:tblCellMar>
        <w:tblLook w:val="0000" w:firstRow="0" w:lastRow="0" w:firstColumn="0" w:lastColumn="0" w:noHBand="0" w:noVBand="0"/>
      </w:tblPr>
      <w:tblGrid>
        <w:gridCol w:w="500"/>
        <w:gridCol w:w="8868"/>
      </w:tblGrid>
      <w:tr w:rsidR="006D2821" w:rsidRPr="006D2821" w:rsidTr="006D2821">
        <w:tc>
          <w:tcPr>
            <w:tcW w:w="9368" w:type="dxa"/>
            <w:gridSpan w:val="2"/>
            <w:shd w:val="clear" w:color="auto" w:fill="auto"/>
          </w:tcPr>
          <w:p w:rsidR="006D2821" w:rsidRDefault="006D2821" w:rsidP="00E71B0D">
            <w:r>
              <w:t>Vedlegg</w:t>
            </w:r>
            <w:r w:rsidR="00C72AE3">
              <w:t>:</w:t>
            </w:r>
          </w:p>
          <w:p w:rsidR="00C72AE3" w:rsidRPr="006D2821" w:rsidRDefault="00C72AE3" w:rsidP="00E71B0D"/>
        </w:tc>
      </w:tr>
      <w:tr w:rsidR="006D2821" w:rsidRPr="006D2821" w:rsidTr="006D2821">
        <w:tc>
          <w:tcPr>
            <w:tcW w:w="500" w:type="dxa"/>
            <w:shd w:val="clear" w:color="auto" w:fill="auto"/>
          </w:tcPr>
          <w:p w:rsidR="006D2821" w:rsidRPr="00C72AE3" w:rsidRDefault="008336D4" w:rsidP="00E71B0D">
            <w:pPr>
              <w:rPr>
                <w:sz w:val="20"/>
                <w:szCs w:val="20"/>
              </w:rPr>
            </w:pPr>
            <w:bookmarkStart w:id="10" w:name="Vedlegg"/>
            <w:bookmarkEnd w:id="10"/>
            <w:r>
              <w:rPr>
                <w:sz w:val="20"/>
                <w:szCs w:val="20"/>
              </w:rPr>
              <w:t>1</w:t>
            </w:r>
          </w:p>
        </w:tc>
        <w:tc>
          <w:tcPr>
            <w:tcW w:w="8868" w:type="dxa"/>
            <w:shd w:val="clear" w:color="auto" w:fill="auto"/>
          </w:tcPr>
          <w:p w:rsidR="006D2821" w:rsidRPr="00C72AE3" w:rsidRDefault="008336D4" w:rsidP="00E71B0D">
            <w:pPr>
              <w:rPr>
                <w:sz w:val="20"/>
                <w:szCs w:val="20"/>
              </w:rPr>
            </w:pPr>
            <w:r>
              <w:rPr>
                <w:sz w:val="20"/>
                <w:szCs w:val="20"/>
              </w:rPr>
              <w:t>Vedlegg 01 DRegPlan for TBV Industriområde - Plankart 2G Behandling Ver 20151027</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2</w:t>
            </w:r>
          </w:p>
        </w:tc>
        <w:tc>
          <w:tcPr>
            <w:tcW w:w="8868" w:type="dxa"/>
            <w:shd w:val="clear" w:color="auto" w:fill="auto"/>
          </w:tcPr>
          <w:p w:rsidR="006D2821" w:rsidRPr="00C72AE3" w:rsidRDefault="008336D4" w:rsidP="00E71B0D">
            <w:pPr>
              <w:rPr>
                <w:sz w:val="20"/>
                <w:szCs w:val="20"/>
              </w:rPr>
            </w:pPr>
            <w:r>
              <w:rPr>
                <w:sz w:val="20"/>
                <w:szCs w:val="20"/>
              </w:rPr>
              <w:t>Vedlegg 02 DRegPlan for TBV Industriområde - Planbestemmelser 2G Behandling Ver 20160531</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3</w:t>
            </w:r>
          </w:p>
        </w:tc>
        <w:tc>
          <w:tcPr>
            <w:tcW w:w="8868" w:type="dxa"/>
            <w:shd w:val="clear" w:color="auto" w:fill="auto"/>
          </w:tcPr>
          <w:p w:rsidR="006D2821" w:rsidRPr="00C72AE3" w:rsidRDefault="008336D4" w:rsidP="00E71B0D">
            <w:pPr>
              <w:rPr>
                <w:sz w:val="20"/>
                <w:szCs w:val="20"/>
              </w:rPr>
            </w:pPr>
            <w:r>
              <w:rPr>
                <w:sz w:val="20"/>
                <w:szCs w:val="20"/>
              </w:rPr>
              <w:t>Vedlegg 03 DRegPlan for TBV Industriområde - Planbeskrivelse 2G Behandling Ver 20160210</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4</w:t>
            </w:r>
          </w:p>
        </w:tc>
        <w:tc>
          <w:tcPr>
            <w:tcW w:w="8868" w:type="dxa"/>
            <w:shd w:val="clear" w:color="auto" w:fill="auto"/>
          </w:tcPr>
          <w:p w:rsidR="006D2821" w:rsidRPr="00C72AE3" w:rsidRDefault="008336D4" w:rsidP="00E71B0D">
            <w:pPr>
              <w:rPr>
                <w:sz w:val="20"/>
                <w:szCs w:val="20"/>
              </w:rPr>
            </w:pPr>
            <w:r>
              <w:rPr>
                <w:sz w:val="20"/>
                <w:szCs w:val="20"/>
              </w:rPr>
              <w:t>Vedlegg 04 DRegPlan for TBV Industriområde -ROS-analyse 2G Behandling Ver 20151027</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5</w:t>
            </w:r>
          </w:p>
        </w:tc>
        <w:tc>
          <w:tcPr>
            <w:tcW w:w="8868" w:type="dxa"/>
            <w:shd w:val="clear" w:color="auto" w:fill="auto"/>
          </w:tcPr>
          <w:p w:rsidR="006D2821" w:rsidRPr="00C72AE3" w:rsidRDefault="008336D4" w:rsidP="00E71B0D">
            <w:pPr>
              <w:rPr>
                <w:sz w:val="20"/>
                <w:szCs w:val="20"/>
              </w:rPr>
            </w:pPr>
            <w:r>
              <w:rPr>
                <w:sz w:val="20"/>
                <w:szCs w:val="20"/>
              </w:rPr>
              <w:t>Vedlegg 05 DRegPlan for TBV Industriområde - KU Reindrift 2G Behandling Ver 20151027</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6</w:t>
            </w:r>
          </w:p>
        </w:tc>
        <w:tc>
          <w:tcPr>
            <w:tcW w:w="8868" w:type="dxa"/>
            <w:shd w:val="clear" w:color="auto" w:fill="auto"/>
          </w:tcPr>
          <w:p w:rsidR="006D2821" w:rsidRPr="00C72AE3" w:rsidRDefault="008336D4" w:rsidP="00E71B0D">
            <w:pPr>
              <w:rPr>
                <w:sz w:val="20"/>
                <w:szCs w:val="20"/>
              </w:rPr>
            </w:pPr>
            <w:r>
              <w:rPr>
                <w:sz w:val="20"/>
                <w:szCs w:val="20"/>
              </w:rPr>
              <w:t>Vedlegg 06 RegPlan for TBV Industriområde - KU Naturmangfold  2G Behandling Ver 20151012</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7</w:t>
            </w:r>
          </w:p>
        </w:tc>
        <w:tc>
          <w:tcPr>
            <w:tcW w:w="8868" w:type="dxa"/>
            <w:shd w:val="clear" w:color="auto" w:fill="auto"/>
          </w:tcPr>
          <w:p w:rsidR="006D2821" w:rsidRPr="00C72AE3" w:rsidRDefault="008336D4" w:rsidP="00E71B0D">
            <w:pPr>
              <w:rPr>
                <w:sz w:val="20"/>
                <w:szCs w:val="20"/>
              </w:rPr>
            </w:pPr>
            <w:r>
              <w:rPr>
                <w:sz w:val="20"/>
                <w:szCs w:val="20"/>
              </w:rPr>
              <w:t>Vedlegg 07 RegPlan for TBV Industriområde -KU Landskap 2G Behandling Ver 20151027</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8</w:t>
            </w:r>
          </w:p>
        </w:tc>
        <w:tc>
          <w:tcPr>
            <w:tcW w:w="8868" w:type="dxa"/>
            <w:shd w:val="clear" w:color="auto" w:fill="auto"/>
          </w:tcPr>
          <w:p w:rsidR="006D2821" w:rsidRPr="00C72AE3" w:rsidRDefault="008336D4" w:rsidP="00E71B0D">
            <w:pPr>
              <w:rPr>
                <w:sz w:val="20"/>
                <w:szCs w:val="20"/>
              </w:rPr>
            </w:pPr>
            <w:r>
              <w:rPr>
                <w:sz w:val="20"/>
                <w:szCs w:val="20"/>
              </w:rPr>
              <w:t>Vedlegg 08 DRegPlan for TBV Industriområde - Vegberegning 2G Behandling Ver 20150826</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9</w:t>
            </w:r>
          </w:p>
        </w:tc>
        <w:tc>
          <w:tcPr>
            <w:tcW w:w="8868" w:type="dxa"/>
            <w:shd w:val="clear" w:color="auto" w:fill="auto"/>
          </w:tcPr>
          <w:p w:rsidR="006D2821" w:rsidRPr="00C72AE3" w:rsidRDefault="008336D4" w:rsidP="00E71B0D">
            <w:pPr>
              <w:rPr>
                <w:sz w:val="20"/>
                <w:szCs w:val="20"/>
              </w:rPr>
            </w:pPr>
            <w:r>
              <w:rPr>
                <w:sz w:val="20"/>
                <w:szCs w:val="20"/>
              </w:rPr>
              <w:t>Vedlegg 09 DRegPlan for TBV Industriområde - Støyrapport 2G Behandling Ver 20151014</w:t>
            </w:r>
          </w:p>
        </w:tc>
      </w:tr>
      <w:tr w:rsidR="006D2821" w:rsidRPr="006D2821" w:rsidTr="006D2821">
        <w:tc>
          <w:tcPr>
            <w:tcW w:w="500" w:type="dxa"/>
            <w:shd w:val="clear" w:color="auto" w:fill="auto"/>
          </w:tcPr>
          <w:p w:rsidR="006D2821" w:rsidRPr="00C72AE3" w:rsidRDefault="008336D4" w:rsidP="00E71B0D">
            <w:pPr>
              <w:rPr>
                <w:sz w:val="20"/>
                <w:szCs w:val="20"/>
              </w:rPr>
            </w:pPr>
            <w:r>
              <w:rPr>
                <w:sz w:val="20"/>
                <w:szCs w:val="20"/>
              </w:rPr>
              <w:t>10</w:t>
            </w:r>
          </w:p>
        </w:tc>
        <w:tc>
          <w:tcPr>
            <w:tcW w:w="8868" w:type="dxa"/>
            <w:shd w:val="clear" w:color="auto" w:fill="auto"/>
          </w:tcPr>
          <w:p w:rsidR="006D2821" w:rsidRPr="00C72AE3" w:rsidRDefault="008336D4" w:rsidP="00C72AE3">
            <w:pPr>
              <w:rPr>
                <w:sz w:val="20"/>
                <w:szCs w:val="20"/>
              </w:rPr>
            </w:pPr>
            <w:r>
              <w:rPr>
                <w:sz w:val="20"/>
                <w:szCs w:val="20"/>
              </w:rPr>
              <w:t>Vedlegg 10 DRegPlan for TBV Industriområde  - Merknader til planforslag</w:t>
            </w:r>
          </w:p>
        </w:tc>
      </w:tr>
    </w:tbl>
    <w:p w:rsidR="00C61F47" w:rsidRPr="000139EF" w:rsidRDefault="00C61F47" w:rsidP="00E71B0D"/>
    <w:p w:rsidR="00F76C85" w:rsidRDefault="00F76C85" w:rsidP="00F76C85">
      <w:pPr>
        <w:pStyle w:val="Overskrift2"/>
      </w:pPr>
      <w:bookmarkStart w:id="11" w:name="Innstilling"/>
      <w:bookmarkEnd w:id="11"/>
      <w:r>
        <w:t xml:space="preserve">Saksprotokoll i </w:t>
      </w:r>
      <w:bookmarkStart w:id="12" w:name="UTVALGSNAVN"/>
      <w:r>
        <w:t>Lyngen kommunestyre</w:t>
      </w:r>
      <w:bookmarkEnd w:id="12"/>
      <w:r>
        <w:t xml:space="preserve"> - </w:t>
      </w:r>
      <w:bookmarkStart w:id="13" w:name="MØTEDATO"/>
      <w:r>
        <w:t>14.06.2016</w:t>
      </w:r>
      <w:bookmarkEnd w:id="13"/>
      <w:r>
        <w:t xml:space="preserve"> </w:t>
      </w:r>
    </w:p>
    <w:p w:rsidR="00F76C85" w:rsidRDefault="00F76C85" w:rsidP="00F76C85"/>
    <w:p w:rsidR="00F76C85" w:rsidRDefault="00F76C85" w:rsidP="00F76C85">
      <w:pPr>
        <w:pStyle w:val="Overskrift2"/>
      </w:pPr>
      <w:r>
        <w:t>Behandling:</w:t>
      </w:r>
    </w:p>
    <w:p w:rsidR="00F76C85" w:rsidRDefault="00F76C85" w:rsidP="00F76C85">
      <w:r>
        <w:t>VEDTAK:</w:t>
      </w:r>
    </w:p>
    <w:p w:rsidR="00F76C85" w:rsidRDefault="00F76C85" w:rsidP="00F76C85">
      <w:r>
        <w:t>Lyngen kommunestyre tiltrer formannskapets innstilling til vedtak. Vedtatt mot 1 stemme.</w:t>
      </w:r>
    </w:p>
    <w:p w:rsidR="00F76C85" w:rsidRDefault="00F76C85" w:rsidP="00F76C85">
      <w:pPr>
        <w:pStyle w:val="Overskrift2"/>
      </w:pPr>
      <w:r>
        <w:t>Vedtak:</w:t>
      </w:r>
    </w:p>
    <w:p w:rsidR="00F76C85" w:rsidRDefault="00F76C85" w:rsidP="00F76C85">
      <w:pPr>
        <w:pStyle w:val="Listeavsnitt"/>
        <w:ind w:left="0"/>
      </w:pPr>
      <w:r>
        <w:t>Detaljreguleringsplan for Tyttebærvika Industriområde datert 27.10.2015 med tilhørende planbeskrivelse datert 10.02.2016, reguleringsbestemmelser datert 31.05.2016 og tilhørende konsekvensutredninger og tilleggsutredninger, vedtas i hht. plan- og bygningslovens § 12-12.</w:t>
      </w:r>
    </w:p>
    <w:p w:rsidR="00F76C85" w:rsidRDefault="00F76C85" w:rsidP="00F76C85"/>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sz w:val="24"/>
          <w:szCs w:val="24"/>
        </w:rPr>
        <w:t>Alt arbeid i Uttaksområdet, skal skje innenfor tidsrommet kl 06.00 – 23.00 på hverdager samt mellom kl 10.00 – 18.00 på lørdager. Lasting på skip, samt transport i slik forbindelse, kan foregå alle dager og hele døgnet (kl 00.00-24.00). Arbeidstid utover dette skal forhånds</w:t>
      </w:r>
      <w:r w:rsidRPr="00B1462A">
        <w:rPr>
          <w:rFonts w:ascii="Times New Roman" w:hAnsi="Times New Roman"/>
          <w:sz w:val="24"/>
          <w:szCs w:val="24"/>
        </w:rPr>
        <w:softHyphen/>
        <w:t xml:space="preserve">avtales skriftlig </w:t>
      </w:r>
      <w:r w:rsidRPr="00B1462A">
        <w:rPr>
          <w:rFonts w:ascii="Times New Roman" w:hAnsi="Times New Roman"/>
          <w:sz w:val="24"/>
          <w:szCs w:val="24"/>
        </w:rPr>
        <w:lastRenderedPageBreak/>
        <w:t xml:space="preserve">med Lyngen kommune v/rådmannen. Samtykke til utvidet arbeidstid skal ikke kunne nektes uten saklig grunn. </w:t>
      </w:r>
    </w:p>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sz w:val="24"/>
          <w:szCs w:val="24"/>
        </w:rPr>
        <w:t> </w:t>
      </w:r>
    </w:p>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color w:val="000000"/>
          <w:sz w:val="24"/>
          <w:szCs w:val="24"/>
          <w:lang w:eastAsia="nb-NO"/>
        </w:rPr>
        <w:t>Uansett samtykke fra kommunen, har leietaker overfor tredjepart -  private, offentlige myndigheter mv - alene ansvar for at arbeidstiden og virksomheten for øvrig utøves i samsvar med gjeldende lovgivning.</w:t>
      </w:r>
    </w:p>
    <w:p w:rsidR="00F76C85" w:rsidRDefault="00F76C85" w:rsidP="00F76C85"/>
    <w:p w:rsidR="00F76C85" w:rsidRPr="00676688" w:rsidRDefault="00F76C85" w:rsidP="00F76C85">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76C85" w:rsidRDefault="00F76C85" w:rsidP="00F76C85"/>
    <w:p w:rsidR="00F76C85" w:rsidRDefault="00F76C85" w:rsidP="006A7993">
      <w:pPr>
        <w:pStyle w:val="Overskrift2"/>
        <w:rPr>
          <w:u w:val="single"/>
        </w:rPr>
      </w:pPr>
    </w:p>
    <w:p w:rsidR="00F76C85" w:rsidRDefault="00F76C85" w:rsidP="00F76C85">
      <w:pPr>
        <w:pStyle w:val="Overskrift2"/>
      </w:pPr>
      <w:r>
        <w:t xml:space="preserve">Saksprotokoll i Lyngen formannskap - 31.05.2016 </w:t>
      </w:r>
    </w:p>
    <w:p w:rsidR="00F76C85" w:rsidRDefault="00F76C85" w:rsidP="00F76C85"/>
    <w:p w:rsidR="00F76C85" w:rsidRDefault="00F76C85" w:rsidP="00F76C85">
      <w:pPr>
        <w:pStyle w:val="Overskrift2"/>
      </w:pPr>
      <w:r>
        <w:t>Behandling:</w:t>
      </w:r>
    </w:p>
    <w:p w:rsidR="00F76C85" w:rsidRDefault="00F76C85" w:rsidP="00F76C85">
      <w:r>
        <w:t>VEDTAK:</w:t>
      </w:r>
    </w:p>
    <w:p w:rsidR="00F76C85" w:rsidRDefault="00F76C85" w:rsidP="00F76C85">
      <w:r>
        <w:t>Formannskapet tiltrer rådmannens innstilling til vedtak med følgende tillegg:</w:t>
      </w:r>
    </w:p>
    <w:p w:rsidR="00F76C85" w:rsidRDefault="00F76C85" w:rsidP="00F76C85"/>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sz w:val="24"/>
          <w:szCs w:val="24"/>
        </w:rPr>
        <w:t>Alt arbeid i Uttaksområdet, skal skje innenfor tidsrommet kl 06.00 – 23.00 på hverdager samt mellom kl 10.00 – 18.00 på lørdager. Lasting på skip, samt transport i slik forbindelse, kan foregå alle dager og hele døgnet (kl 00.00-24.00). Arbeidstid utover dette skal forhånds</w:t>
      </w:r>
      <w:r w:rsidRPr="00B1462A">
        <w:rPr>
          <w:rFonts w:ascii="Times New Roman" w:hAnsi="Times New Roman"/>
          <w:sz w:val="24"/>
          <w:szCs w:val="24"/>
        </w:rPr>
        <w:softHyphen/>
        <w:t xml:space="preserve">avtales skriftlig med Lyngen kommune v/rådmannen. Samtykke til utvidet arbeidstid skal ikke kunne nektes uten saklig grunn. </w:t>
      </w:r>
    </w:p>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sz w:val="24"/>
          <w:szCs w:val="24"/>
        </w:rPr>
        <w:t> </w:t>
      </w:r>
    </w:p>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color w:val="000000"/>
          <w:sz w:val="24"/>
          <w:szCs w:val="24"/>
          <w:lang w:eastAsia="nb-NO"/>
        </w:rPr>
        <w:t>Uansett samtykke fra kommunen, har leietaker overfor tredjepart -  private, offentlige myndigheter mv - alene ansvar for at arbeidstiden og virksomheten for øvrig utøves i samsvar med gjeldende lovgivning.</w:t>
      </w:r>
    </w:p>
    <w:p w:rsidR="00F76C85" w:rsidRDefault="00F76C85" w:rsidP="00F76C85">
      <w:r>
        <w:t>Enst.</w:t>
      </w:r>
    </w:p>
    <w:p w:rsidR="00F76C85" w:rsidRDefault="00F76C85" w:rsidP="00F76C85">
      <w:pPr>
        <w:pStyle w:val="Overskrift2"/>
      </w:pPr>
      <w:r>
        <w:t>Vedtak:</w:t>
      </w:r>
    </w:p>
    <w:p w:rsidR="00F76C85" w:rsidRDefault="00F76C85" w:rsidP="00F76C85">
      <w:pPr>
        <w:pStyle w:val="Listeavsnitt"/>
        <w:ind w:left="0"/>
      </w:pPr>
      <w:r>
        <w:t>Detaljreguleringsplan for Tyttebærvika Industriområde datert 27.10.2015 med tilhørende planbeskrivelse datert 10.02.2016, reguleringsbestemmelser datert 10.02.2016 og tilhørende konsekvensutredninger og tilleggsutredninger, vedtas i hht. plan- og bygningslovens § 12-12.</w:t>
      </w:r>
    </w:p>
    <w:p w:rsidR="00F76C85" w:rsidRDefault="00F76C85" w:rsidP="00F76C85"/>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sz w:val="24"/>
          <w:szCs w:val="24"/>
        </w:rPr>
        <w:t>Alt arbeid i Uttaksområdet, skal skje innenfor tidsrommet kl 06.00 – 23.00 på hverdager samt mellom kl 10.00 – 18.00 på lørdager. Lasting på skip, samt transport i slik forbindelse, kan foregå alle dager og hele døgnet (kl 00.00-24.00). Arbeidstid utover dette skal forhånds</w:t>
      </w:r>
      <w:r w:rsidRPr="00B1462A">
        <w:rPr>
          <w:rFonts w:ascii="Times New Roman" w:hAnsi="Times New Roman"/>
          <w:sz w:val="24"/>
          <w:szCs w:val="24"/>
        </w:rPr>
        <w:softHyphen/>
        <w:t xml:space="preserve">avtales skriftlig med Lyngen kommune v/rådmannen. Samtykke til utvidet arbeidstid skal ikke kunne nektes uten saklig grunn. </w:t>
      </w:r>
    </w:p>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sz w:val="24"/>
          <w:szCs w:val="24"/>
        </w:rPr>
        <w:t> </w:t>
      </w:r>
    </w:p>
    <w:p w:rsidR="00F76C85" w:rsidRPr="00B1462A" w:rsidRDefault="00F76C85" w:rsidP="00F76C85">
      <w:pPr>
        <w:pStyle w:val="Ingenmellomrom"/>
        <w:jc w:val="both"/>
        <w:rPr>
          <w:rFonts w:ascii="Times New Roman" w:hAnsi="Times New Roman"/>
          <w:sz w:val="24"/>
          <w:szCs w:val="24"/>
        </w:rPr>
      </w:pPr>
      <w:r w:rsidRPr="00B1462A">
        <w:rPr>
          <w:rFonts w:ascii="Times New Roman" w:hAnsi="Times New Roman"/>
          <w:color w:val="000000"/>
          <w:sz w:val="24"/>
          <w:szCs w:val="24"/>
          <w:lang w:eastAsia="nb-NO"/>
        </w:rPr>
        <w:t>Uansett samtykke fra kommunen, har leietaker overfor tredjepart -  private, offentlige myndigheter mv - alene ansvar for at arbeidstiden og virksomheten for øvrig utøves i samsvar med gjeldende lovgivning.</w:t>
      </w:r>
    </w:p>
    <w:p w:rsidR="00F76C85" w:rsidRDefault="00F76C85" w:rsidP="00F76C85"/>
    <w:p w:rsidR="00F76C85" w:rsidRDefault="00F76C85" w:rsidP="00F76C85"/>
    <w:p w:rsidR="00F76C85" w:rsidRPr="00676688" w:rsidRDefault="00F76C85" w:rsidP="00F76C85">
      <w:pPr>
        <w:rPr>
          <w:vanish/>
          <w:color w:val="0000FF"/>
          <w:sz w:val="16"/>
          <w:szCs w:val="16"/>
        </w:rPr>
      </w:pPr>
      <w:r w:rsidRPr="00676688">
        <w:rPr>
          <w:vanish/>
          <w:color w:val="0000FF"/>
          <w:sz w:val="16"/>
          <w:szCs w:val="16"/>
        </w:rPr>
        <w:t xml:space="preserve">--- slutt på </w:t>
      </w:r>
      <w:r>
        <w:rPr>
          <w:vanish/>
          <w:color w:val="0000FF"/>
          <w:sz w:val="16"/>
          <w:szCs w:val="16"/>
        </w:rPr>
        <w:t>saksprotokoll</w:t>
      </w:r>
      <w:r w:rsidRPr="00676688">
        <w:rPr>
          <w:vanish/>
          <w:color w:val="0000FF"/>
          <w:sz w:val="16"/>
          <w:szCs w:val="16"/>
        </w:rPr>
        <w:t xml:space="preserve"> ---</w:t>
      </w:r>
    </w:p>
    <w:p w:rsidR="00F76C85" w:rsidRDefault="00F76C85" w:rsidP="00F76C85"/>
    <w:p w:rsidR="00F76C85" w:rsidRDefault="00F76C85" w:rsidP="006A7993">
      <w:pPr>
        <w:pStyle w:val="Overskrift2"/>
        <w:rPr>
          <w:u w:val="single"/>
        </w:rPr>
      </w:pPr>
    </w:p>
    <w:p w:rsidR="006A7993" w:rsidRDefault="006A7993" w:rsidP="006A7993">
      <w:pPr>
        <w:pStyle w:val="Overskrift2"/>
        <w:rPr>
          <w:u w:val="single"/>
        </w:rPr>
      </w:pPr>
      <w:bookmarkStart w:id="14" w:name="ephOppMerke"/>
      <w:bookmarkEnd w:id="14"/>
      <w:r w:rsidRPr="00E025F6">
        <w:rPr>
          <w:u w:val="single"/>
        </w:rPr>
        <w:t>Rådmannens innstilling</w:t>
      </w:r>
    </w:p>
    <w:p w:rsidR="006A7993" w:rsidRDefault="006A7993" w:rsidP="006A7993"/>
    <w:p w:rsidR="004D00EC" w:rsidRDefault="004D00EC" w:rsidP="004D00EC">
      <w:pPr>
        <w:pStyle w:val="Listeavsnitt"/>
        <w:numPr>
          <w:ilvl w:val="0"/>
          <w:numId w:val="6"/>
        </w:numPr>
      </w:pPr>
      <w:r>
        <w:t xml:space="preserve">Detaljreguleringsplan for Tyttebærvika Industriområde datert 27.10.2015 med tilhørende planbeskrivelse datert </w:t>
      </w:r>
      <w:r w:rsidR="00FE2C9A">
        <w:t>10</w:t>
      </w:r>
      <w:r>
        <w:t>.0</w:t>
      </w:r>
      <w:r w:rsidR="00FE2C9A">
        <w:t>2</w:t>
      </w:r>
      <w:r>
        <w:t>.20</w:t>
      </w:r>
      <w:r w:rsidR="00FE2C9A">
        <w:t>16,</w:t>
      </w:r>
      <w:r>
        <w:t xml:space="preserve"> reguleringsbestemmelser datert </w:t>
      </w:r>
      <w:r w:rsidR="00FE2C9A">
        <w:t>10</w:t>
      </w:r>
      <w:r>
        <w:t>.0</w:t>
      </w:r>
      <w:r w:rsidR="00FE2C9A">
        <w:t>2</w:t>
      </w:r>
      <w:r>
        <w:t>.201</w:t>
      </w:r>
      <w:r w:rsidR="00FE2C9A">
        <w:t>6</w:t>
      </w:r>
      <w:r>
        <w:t xml:space="preserve"> og tilhørende konsekvensutredninger og tilleggsutredninger, vedtas i hht. plan- og bygningslovens § 12-12.</w:t>
      </w:r>
    </w:p>
    <w:p w:rsidR="004D00EC" w:rsidRDefault="004D00EC" w:rsidP="006A7993"/>
    <w:p w:rsidR="006A7993" w:rsidRPr="000139EF" w:rsidRDefault="006A7993" w:rsidP="006A7993">
      <w:pPr>
        <w:rPr>
          <w:vanish/>
          <w:color w:val="0000FF"/>
          <w:sz w:val="16"/>
          <w:szCs w:val="16"/>
        </w:rPr>
      </w:pPr>
      <w:r w:rsidRPr="000139EF">
        <w:rPr>
          <w:vanish/>
          <w:color w:val="0000FF"/>
          <w:sz w:val="16"/>
          <w:szCs w:val="16"/>
        </w:rPr>
        <w:t>--- slutt på innstilling ---</w:t>
      </w:r>
    </w:p>
    <w:p w:rsidR="00E71B0D" w:rsidRDefault="00E71B0D" w:rsidP="00E71B0D"/>
    <w:p w:rsidR="00724666" w:rsidRDefault="00724666" w:rsidP="00E71B0D"/>
    <w:p w:rsidR="00724666" w:rsidRDefault="00724666" w:rsidP="00E71B0D"/>
    <w:p w:rsidR="00E71B0D" w:rsidRPr="00E025F6" w:rsidRDefault="00E71B0D" w:rsidP="00E71B0D">
      <w:pPr>
        <w:pStyle w:val="Overskrift2"/>
        <w:rPr>
          <w:u w:val="single"/>
        </w:rPr>
      </w:pPr>
      <w:r w:rsidRPr="00E025F6">
        <w:rPr>
          <w:u w:val="single"/>
        </w:rPr>
        <w:t>Saks</w:t>
      </w:r>
      <w:r w:rsidR="00B63C04" w:rsidRPr="00E025F6">
        <w:rPr>
          <w:u w:val="single"/>
        </w:rPr>
        <w:t>opplysninger</w:t>
      </w:r>
    </w:p>
    <w:p w:rsidR="0082679E" w:rsidRDefault="0082679E" w:rsidP="00E71B0D">
      <w:pPr>
        <w:rPr>
          <w:b/>
        </w:rPr>
      </w:pPr>
      <w:bookmarkStart w:id="15" w:name="Start"/>
      <w:bookmarkEnd w:id="15"/>
    </w:p>
    <w:p w:rsidR="0082679E" w:rsidRPr="00F01A88" w:rsidRDefault="0082679E" w:rsidP="00E71B0D">
      <w:pPr>
        <w:rPr>
          <w:b/>
        </w:rPr>
      </w:pPr>
      <w:r w:rsidRPr="00F01A88">
        <w:rPr>
          <w:b/>
        </w:rPr>
        <w:t>Planens bakgrunn og hovedprinsipp</w:t>
      </w:r>
    </w:p>
    <w:p w:rsidR="0082679E" w:rsidRPr="00480852" w:rsidRDefault="0082679E" w:rsidP="00E71B0D">
      <w:pPr>
        <w:rPr>
          <w:b/>
        </w:rPr>
      </w:pPr>
    </w:p>
    <w:p w:rsidR="00480852" w:rsidRDefault="00480852" w:rsidP="00480852">
      <w:pPr>
        <w:pStyle w:val="Default"/>
        <w:rPr>
          <w:rFonts w:ascii="Times New Roman" w:hAnsi="Times New Roman" w:cs="Times New Roman"/>
        </w:rPr>
      </w:pPr>
      <w:r>
        <w:rPr>
          <w:rFonts w:ascii="Times New Roman" w:hAnsi="Times New Roman" w:cs="Times New Roman"/>
        </w:rPr>
        <w:t xml:space="preserve">Grunnlaget for oppstart av arbeid med utvidelse av detaljreguleringsplan for Tyttebærvika </w:t>
      </w:r>
      <w:r w:rsidR="00EF6516">
        <w:rPr>
          <w:rFonts w:ascii="Times New Roman" w:hAnsi="Times New Roman" w:cs="Times New Roman"/>
        </w:rPr>
        <w:t xml:space="preserve">Industriområde </w:t>
      </w:r>
      <w:r>
        <w:rPr>
          <w:rFonts w:ascii="Times New Roman" w:hAnsi="Times New Roman" w:cs="Times New Roman"/>
        </w:rPr>
        <w:t xml:space="preserve">er koblet opp </w:t>
      </w:r>
      <w:r w:rsidR="00EF6516">
        <w:rPr>
          <w:rFonts w:ascii="Times New Roman" w:hAnsi="Times New Roman" w:cs="Times New Roman"/>
        </w:rPr>
        <w:t>mot</w:t>
      </w:r>
      <w:r>
        <w:rPr>
          <w:rFonts w:ascii="Times New Roman" w:hAnsi="Times New Roman" w:cs="Times New Roman"/>
        </w:rPr>
        <w:t xml:space="preserve"> at eksisterende ferdigregulerte pukk og grusressurser </w:t>
      </w:r>
      <w:r w:rsidR="00EA26D2">
        <w:rPr>
          <w:rFonts w:ascii="Times New Roman" w:hAnsi="Times New Roman" w:cs="Times New Roman"/>
        </w:rPr>
        <w:t>var tømt</w:t>
      </w:r>
      <w:r w:rsidR="00EF6516">
        <w:rPr>
          <w:rFonts w:ascii="Times New Roman" w:hAnsi="Times New Roman" w:cs="Times New Roman"/>
        </w:rPr>
        <w:t xml:space="preserve"> i 2014</w:t>
      </w:r>
      <w:r>
        <w:rPr>
          <w:rFonts w:ascii="Times New Roman" w:hAnsi="Times New Roman" w:cs="Times New Roman"/>
        </w:rPr>
        <w:t>. For å sikre og utvide eksisterende drift, er det i kommunens arealplan avklart utvidelse av bruddet i Tyttebærvika. På denne bakgrunn ble det fa</w:t>
      </w:r>
      <w:r w:rsidR="00342438">
        <w:rPr>
          <w:rFonts w:ascii="Times New Roman" w:hAnsi="Times New Roman" w:cs="Times New Roman"/>
        </w:rPr>
        <w:t>ttet vedtak i Lyngen kommunestyre 18.06.2014, (KST-sak 2014/33, Arkiv nr. 2009/439),</w:t>
      </w:r>
      <w:r>
        <w:rPr>
          <w:rFonts w:ascii="Times New Roman" w:hAnsi="Times New Roman" w:cs="Times New Roman"/>
        </w:rPr>
        <w:t xml:space="preserve"> om oppstart av arbeid med </w:t>
      </w:r>
      <w:r w:rsidR="00722AD3">
        <w:rPr>
          <w:rFonts w:ascii="Times New Roman" w:hAnsi="Times New Roman" w:cs="Times New Roman"/>
        </w:rPr>
        <w:t>utvidet detaljreguleringsplan for området. Forslagsstiller for planen er Lyngen kommune.</w:t>
      </w:r>
      <w:r w:rsidR="009D7770">
        <w:rPr>
          <w:rFonts w:ascii="Times New Roman" w:hAnsi="Times New Roman" w:cs="Times New Roman"/>
        </w:rPr>
        <w:t xml:space="preserve"> Et</w:t>
      </w:r>
      <w:r w:rsidR="00EA26D2">
        <w:rPr>
          <w:rFonts w:ascii="Times New Roman" w:hAnsi="Times New Roman" w:cs="Times New Roman"/>
        </w:rPr>
        <w:t>t</w:t>
      </w:r>
      <w:r w:rsidR="009D7770">
        <w:rPr>
          <w:rFonts w:ascii="Times New Roman" w:hAnsi="Times New Roman" w:cs="Times New Roman"/>
        </w:rPr>
        <w:t>er offentlig anbudsrunde ble planarbeidet tildelt Feste Nord-Øst AS.</w:t>
      </w:r>
    </w:p>
    <w:p w:rsidR="00480852" w:rsidRDefault="00480852" w:rsidP="00480852">
      <w:pPr>
        <w:pStyle w:val="Default"/>
        <w:rPr>
          <w:rFonts w:ascii="Times New Roman" w:hAnsi="Times New Roman" w:cs="Times New Roman"/>
        </w:rPr>
      </w:pPr>
    </w:p>
    <w:p w:rsidR="0082679E" w:rsidRDefault="00480852" w:rsidP="00480852">
      <w:pPr>
        <w:pStyle w:val="Default"/>
        <w:rPr>
          <w:rFonts w:ascii="Times New Roman" w:hAnsi="Times New Roman" w:cs="Times New Roman"/>
        </w:rPr>
      </w:pPr>
      <w:r w:rsidRPr="00480852">
        <w:rPr>
          <w:rFonts w:ascii="Times New Roman" w:hAnsi="Times New Roman" w:cs="Times New Roman"/>
        </w:rPr>
        <w:t>Formål</w:t>
      </w:r>
      <w:r w:rsidR="00EA26D2">
        <w:rPr>
          <w:rFonts w:ascii="Times New Roman" w:hAnsi="Times New Roman" w:cs="Times New Roman"/>
        </w:rPr>
        <w:t>et</w:t>
      </w:r>
      <w:r w:rsidRPr="00480852">
        <w:rPr>
          <w:rFonts w:ascii="Times New Roman" w:hAnsi="Times New Roman" w:cs="Times New Roman"/>
        </w:rPr>
        <w:t xml:space="preserve"> med </w:t>
      </w:r>
      <w:r w:rsidR="00EA26D2">
        <w:rPr>
          <w:rFonts w:ascii="Times New Roman" w:hAnsi="Times New Roman" w:cs="Times New Roman"/>
        </w:rPr>
        <w:t xml:space="preserve">det iverksatte </w:t>
      </w:r>
      <w:r w:rsidRPr="00480852">
        <w:rPr>
          <w:rFonts w:ascii="Times New Roman" w:hAnsi="Times New Roman" w:cs="Times New Roman"/>
        </w:rPr>
        <w:t>planarbeidet er å revidere eksisterende reguleringsplan for Tyttebærvika, samt utvide planområdet i henhold til kommuneplanens arealdel. Det er ønskelig med utvidelse av eksisterende steinbrudd, ivareta eksisterende næringsvirksomhet, legge til rette for ny næringsvirksomhet, revidere infrastruktur (tras</w:t>
      </w:r>
      <w:r>
        <w:rPr>
          <w:rFonts w:ascii="Times New Roman" w:hAnsi="Times New Roman" w:cs="Times New Roman"/>
        </w:rPr>
        <w:t>è</w:t>
      </w:r>
      <w:r w:rsidRPr="00480852">
        <w:rPr>
          <w:rFonts w:ascii="Times New Roman" w:hAnsi="Times New Roman" w:cs="Times New Roman"/>
        </w:rPr>
        <w:t xml:space="preserve"> for fylkesveg, kryssløsning og utvidelse av havn og kaiområdet). </w:t>
      </w:r>
      <w:r w:rsidR="00722AD3">
        <w:rPr>
          <w:rFonts w:ascii="Times New Roman" w:hAnsi="Times New Roman" w:cs="Times New Roman"/>
        </w:rPr>
        <w:t>Videre skal planen s</w:t>
      </w:r>
      <w:r w:rsidRPr="00480852">
        <w:rPr>
          <w:rFonts w:ascii="Times New Roman" w:hAnsi="Times New Roman" w:cs="Times New Roman"/>
        </w:rPr>
        <w:t xml:space="preserve">ikre grøntstrukturer, parkering for bruk av tilstøtende områder i friluftsammenheng og </w:t>
      </w:r>
      <w:r w:rsidR="00722AD3">
        <w:rPr>
          <w:rFonts w:ascii="Times New Roman" w:hAnsi="Times New Roman" w:cs="Times New Roman"/>
        </w:rPr>
        <w:t xml:space="preserve">bidra til etablering av </w:t>
      </w:r>
      <w:r w:rsidRPr="00480852">
        <w:rPr>
          <w:rFonts w:ascii="Times New Roman" w:hAnsi="Times New Roman" w:cs="Times New Roman"/>
        </w:rPr>
        <w:t>god adskillelse mellom næringsområdet og landbruk og reindriftsinteressene i området.</w:t>
      </w:r>
    </w:p>
    <w:p w:rsidR="00F83774" w:rsidRDefault="00F83774" w:rsidP="00480852">
      <w:pPr>
        <w:pStyle w:val="Default"/>
        <w:rPr>
          <w:rFonts w:ascii="Times New Roman" w:hAnsi="Times New Roman" w:cs="Times New Roman"/>
        </w:rPr>
      </w:pPr>
    </w:p>
    <w:p w:rsidR="00F83774" w:rsidRPr="00480852" w:rsidRDefault="00F83774" w:rsidP="00480852">
      <w:pPr>
        <w:pStyle w:val="Default"/>
        <w:rPr>
          <w:rFonts w:ascii="Times New Roman" w:hAnsi="Times New Roman" w:cs="Times New Roman"/>
          <w:b/>
        </w:rPr>
      </w:pPr>
      <w:r>
        <w:rPr>
          <w:rFonts w:ascii="Times New Roman" w:hAnsi="Times New Roman" w:cs="Times New Roman"/>
        </w:rPr>
        <w:t xml:space="preserve">Planarealet utgjør ca. </w:t>
      </w:r>
      <w:r w:rsidR="00E60A87">
        <w:rPr>
          <w:rFonts w:ascii="Times New Roman" w:hAnsi="Times New Roman" w:cs="Times New Roman"/>
        </w:rPr>
        <w:t>1200</w:t>
      </w:r>
      <w:r>
        <w:rPr>
          <w:rFonts w:ascii="Times New Roman" w:hAnsi="Times New Roman" w:cs="Times New Roman"/>
        </w:rPr>
        <w:t xml:space="preserve"> dekar</w:t>
      </w:r>
      <w:r w:rsidR="00E60A87">
        <w:rPr>
          <w:rFonts w:ascii="Times New Roman" w:hAnsi="Times New Roman" w:cs="Times New Roman"/>
        </w:rPr>
        <w:t xml:space="preserve"> hvorav areal for selve uttaket er på ca. 250 dekar. Dette</w:t>
      </w:r>
      <w:r>
        <w:rPr>
          <w:rFonts w:ascii="Times New Roman" w:hAnsi="Times New Roman" w:cs="Times New Roman"/>
        </w:rPr>
        <w:t xml:space="preserve"> frigjør</w:t>
      </w:r>
      <w:r w:rsidR="00E60A87">
        <w:rPr>
          <w:rFonts w:ascii="Times New Roman" w:hAnsi="Times New Roman" w:cs="Times New Roman"/>
        </w:rPr>
        <w:t xml:space="preserve"> </w:t>
      </w:r>
      <w:r>
        <w:rPr>
          <w:rFonts w:ascii="Times New Roman" w:hAnsi="Times New Roman" w:cs="Times New Roman"/>
        </w:rPr>
        <w:t xml:space="preserve">12,5 </w:t>
      </w:r>
      <w:r w:rsidR="00E60A87">
        <w:rPr>
          <w:rFonts w:ascii="Times New Roman" w:hAnsi="Times New Roman" w:cs="Times New Roman"/>
        </w:rPr>
        <w:t xml:space="preserve">millioner </w:t>
      </w:r>
      <w:r>
        <w:rPr>
          <w:rFonts w:ascii="Times New Roman" w:hAnsi="Times New Roman" w:cs="Times New Roman"/>
        </w:rPr>
        <w:t>m3 fast masse/37</w:t>
      </w:r>
      <w:r w:rsidR="00E60A87">
        <w:rPr>
          <w:rFonts w:ascii="Times New Roman" w:hAnsi="Times New Roman" w:cs="Times New Roman"/>
        </w:rPr>
        <w:t>,5</w:t>
      </w:r>
      <w:r>
        <w:rPr>
          <w:rFonts w:ascii="Times New Roman" w:hAnsi="Times New Roman" w:cs="Times New Roman"/>
        </w:rPr>
        <w:t xml:space="preserve"> millioner tonn stein. Fra kommunens eiendommer er det beregnet tilgjengelige ressurser på ca 3,1 </w:t>
      </w:r>
      <w:r w:rsidR="00E60A87">
        <w:rPr>
          <w:rFonts w:ascii="Times New Roman" w:hAnsi="Times New Roman" w:cs="Times New Roman"/>
        </w:rPr>
        <w:t xml:space="preserve">millioner </w:t>
      </w:r>
      <w:r>
        <w:rPr>
          <w:rFonts w:ascii="Times New Roman" w:hAnsi="Times New Roman" w:cs="Times New Roman"/>
        </w:rPr>
        <w:t>m3 fast masse/9 millioner tonn stein.</w:t>
      </w:r>
    </w:p>
    <w:p w:rsidR="00480852" w:rsidRPr="00480852" w:rsidRDefault="00480852" w:rsidP="00E71B0D">
      <w:pPr>
        <w:rPr>
          <w:b/>
        </w:rPr>
      </w:pPr>
    </w:p>
    <w:p w:rsidR="0082679E" w:rsidRPr="008F4F6B" w:rsidRDefault="0082679E" w:rsidP="00E71B0D">
      <w:pPr>
        <w:rPr>
          <w:b/>
        </w:rPr>
      </w:pPr>
      <w:r w:rsidRPr="008F4F6B">
        <w:rPr>
          <w:b/>
        </w:rPr>
        <w:t>Plan- og bygningsloven prosess for behandling av detaljreguleringsplaner</w:t>
      </w:r>
    </w:p>
    <w:p w:rsidR="0082679E" w:rsidRPr="00117672" w:rsidRDefault="0082679E" w:rsidP="00E71B0D">
      <w:pPr>
        <w:rPr>
          <w:b/>
        </w:rPr>
      </w:pPr>
    </w:p>
    <w:p w:rsidR="00117672" w:rsidRPr="00117672" w:rsidRDefault="00117672" w:rsidP="00117672">
      <w:pPr>
        <w:autoSpaceDE w:val="0"/>
        <w:autoSpaceDN w:val="0"/>
        <w:adjustRightInd w:val="0"/>
      </w:pPr>
      <w:r w:rsidRPr="00117672">
        <w:t>For gjennomføring av større bygge- og anleggstiltak som kan få vesentlige virkninger for miljø og</w:t>
      </w:r>
      <w:r>
        <w:t xml:space="preserve"> </w:t>
      </w:r>
      <w:r w:rsidRPr="00117672">
        <w:t xml:space="preserve">samfunn, krever plan og bygningsloven, (PBL), at det utarbeides </w:t>
      </w:r>
      <w:r w:rsidRPr="00117672">
        <w:rPr>
          <w:i/>
          <w:iCs/>
        </w:rPr>
        <w:t>reguleringsplan</w:t>
      </w:r>
      <w:r w:rsidRPr="00117672">
        <w:t>, (§ 12-1).</w:t>
      </w:r>
    </w:p>
    <w:p w:rsidR="00117672" w:rsidRDefault="00117672" w:rsidP="00117672">
      <w:pPr>
        <w:autoSpaceDE w:val="0"/>
        <w:autoSpaceDN w:val="0"/>
        <w:adjustRightInd w:val="0"/>
      </w:pPr>
      <w:r w:rsidRPr="00117672">
        <w:t xml:space="preserve">Utvidelsen av </w:t>
      </w:r>
      <w:r>
        <w:t xml:space="preserve">Tyttebærvika industriområde </w:t>
      </w:r>
      <w:r w:rsidRPr="00117672">
        <w:t>omfattes av PBLs krav t</w:t>
      </w:r>
      <w:r>
        <w:t xml:space="preserve">il reguleringsplan, og Lyngen </w:t>
      </w:r>
      <w:r w:rsidRPr="00117672">
        <w:t xml:space="preserve">kommune har derfor </w:t>
      </w:r>
      <w:r w:rsidR="00EA26D2">
        <w:t>12</w:t>
      </w:r>
      <w:r w:rsidRPr="00117672">
        <w:t>.</w:t>
      </w:r>
      <w:r w:rsidR="00EA26D2">
        <w:t>03</w:t>
      </w:r>
      <w:r w:rsidRPr="00117672">
        <w:t>.201</w:t>
      </w:r>
      <w:r w:rsidR="00EA26D2">
        <w:t>5</w:t>
      </w:r>
      <w:r w:rsidRPr="00117672">
        <w:t xml:space="preserve"> kunngjort planoppstart for arbeid med ny og utvidet </w:t>
      </w:r>
      <w:r>
        <w:t>detalj</w:t>
      </w:r>
      <w:r w:rsidRPr="00117672">
        <w:t>reguleringsplan</w:t>
      </w:r>
      <w:r>
        <w:t xml:space="preserve"> </w:t>
      </w:r>
      <w:r w:rsidRPr="00117672">
        <w:t xml:space="preserve">for </w:t>
      </w:r>
      <w:r>
        <w:t>Tyttebærvika industriområde</w:t>
      </w:r>
      <w:r w:rsidRPr="00117672">
        <w:t>.</w:t>
      </w:r>
    </w:p>
    <w:p w:rsidR="0017402C" w:rsidRPr="00117672" w:rsidRDefault="0017402C" w:rsidP="00117672">
      <w:pPr>
        <w:autoSpaceDE w:val="0"/>
        <w:autoSpaceDN w:val="0"/>
        <w:adjustRightInd w:val="0"/>
      </w:pPr>
    </w:p>
    <w:p w:rsidR="00117672" w:rsidRPr="00117672" w:rsidRDefault="00117672" w:rsidP="00117672">
      <w:pPr>
        <w:autoSpaceDE w:val="0"/>
        <w:autoSpaceDN w:val="0"/>
        <w:adjustRightInd w:val="0"/>
        <w:rPr>
          <w:i/>
          <w:iCs/>
        </w:rPr>
      </w:pPr>
      <w:r w:rsidRPr="00117672">
        <w:t xml:space="preserve">I henhold til PBL defineres reguleringsplan som </w:t>
      </w:r>
      <w:r w:rsidRPr="00117672">
        <w:rPr>
          <w:i/>
          <w:iCs/>
        </w:rPr>
        <w:t>”et arealplankart med tilhørende</w:t>
      </w:r>
    </w:p>
    <w:p w:rsidR="00117672" w:rsidRPr="00117672" w:rsidRDefault="00117672" w:rsidP="00117672">
      <w:pPr>
        <w:autoSpaceDE w:val="0"/>
        <w:autoSpaceDN w:val="0"/>
        <w:adjustRightInd w:val="0"/>
      </w:pPr>
      <w:r w:rsidRPr="00117672">
        <w:rPr>
          <w:i/>
          <w:iCs/>
        </w:rPr>
        <w:t>reguleringsbestemmelser som angir bruk, vern og utforming av arealer og fysiske omgivelser”</w:t>
      </w:r>
      <w:r w:rsidRPr="00117672">
        <w:t>,</w:t>
      </w:r>
    </w:p>
    <w:p w:rsidR="00117672" w:rsidRPr="00117672" w:rsidRDefault="00117672" w:rsidP="00117672">
      <w:pPr>
        <w:autoSpaceDE w:val="0"/>
        <w:autoSpaceDN w:val="0"/>
        <w:adjustRightInd w:val="0"/>
        <w:rPr>
          <w:i/>
          <w:iCs/>
        </w:rPr>
      </w:pPr>
      <w:r w:rsidRPr="00117672">
        <w:t xml:space="preserve">(PBL, § 12-1). Hovedformålet med utarbeidelse av reguleringsplaner er </w:t>
      </w:r>
      <w:r w:rsidRPr="00117672">
        <w:rPr>
          <w:i/>
          <w:iCs/>
        </w:rPr>
        <w:t>”å sikre forsvarlig</w:t>
      </w:r>
    </w:p>
    <w:p w:rsidR="00117672" w:rsidRDefault="00117672" w:rsidP="00117672">
      <w:pPr>
        <w:autoSpaceDE w:val="0"/>
        <w:autoSpaceDN w:val="0"/>
        <w:adjustRightInd w:val="0"/>
      </w:pPr>
      <w:r w:rsidRPr="00117672">
        <w:rPr>
          <w:i/>
          <w:iCs/>
        </w:rPr>
        <w:t>planavklaring og gjennomføring av bygge- og anleggstiltak, flerbruk og vern i forhold til berørte</w:t>
      </w:r>
      <w:r w:rsidR="00E60A87">
        <w:rPr>
          <w:i/>
          <w:iCs/>
        </w:rPr>
        <w:t xml:space="preserve"> </w:t>
      </w:r>
      <w:r w:rsidRPr="00117672">
        <w:rPr>
          <w:i/>
          <w:iCs/>
        </w:rPr>
        <w:t>private og offentlige interesser”</w:t>
      </w:r>
      <w:r w:rsidRPr="00117672">
        <w:t xml:space="preserve">, (§ 12-1). Den utvidede </w:t>
      </w:r>
      <w:r w:rsidR="00E60A87">
        <w:t xml:space="preserve">reguleringsplan for </w:t>
      </w:r>
      <w:r w:rsidR="00E60A87">
        <w:lastRenderedPageBreak/>
        <w:t xml:space="preserve">Tyttebærvika </w:t>
      </w:r>
      <w:r w:rsidRPr="00117672">
        <w:t xml:space="preserve">industriområde fremmes som </w:t>
      </w:r>
      <w:r w:rsidRPr="00117672">
        <w:rPr>
          <w:i/>
          <w:iCs/>
        </w:rPr>
        <w:t>”Detaljreguleringsplan”</w:t>
      </w:r>
      <w:r w:rsidRPr="00117672">
        <w:t>, dvs. en planm</w:t>
      </w:r>
      <w:r w:rsidR="002420C1">
        <w:t>odell</w:t>
      </w:r>
      <w:r w:rsidRPr="00117672">
        <w:t xml:space="preserve"> hvor arealbruken innenfor</w:t>
      </w:r>
      <w:r w:rsidR="00E60A87">
        <w:t xml:space="preserve"> </w:t>
      </w:r>
      <w:r w:rsidRPr="00117672">
        <w:t>planområdet defineres og kartfestes detaljert, (§ 12-3).</w:t>
      </w:r>
    </w:p>
    <w:p w:rsidR="00E60A87" w:rsidRPr="00117672" w:rsidRDefault="00E60A87" w:rsidP="00117672">
      <w:pPr>
        <w:autoSpaceDE w:val="0"/>
        <w:autoSpaceDN w:val="0"/>
        <w:adjustRightInd w:val="0"/>
      </w:pPr>
    </w:p>
    <w:p w:rsidR="00117672" w:rsidRPr="00117672" w:rsidRDefault="00117672" w:rsidP="00117672">
      <w:pPr>
        <w:autoSpaceDE w:val="0"/>
        <w:autoSpaceDN w:val="0"/>
        <w:adjustRightInd w:val="0"/>
      </w:pPr>
      <w:r w:rsidRPr="00117672">
        <w:t>Ved kommunestyrets vedtak, (stadfesting), fastsettes framtidig arealbruk for området og</w:t>
      </w:r>
    </w:p>
    <w:p w:rsidR="00117672" w:rsidRPr="00117672" w:rsidRDefault="00117672" w:rsidP="00117672">
      <w:pPr>
        <w:autoSpaceDE w:val="0"/>
        <w:autoSpaceDN w:val="0"/>
        <w:adjustRightInd w:val="0"/>
      </w:pPr>
      <w:r w:rsidRPr="00117672">
        <w:t xml:space="preserve">reguleringsplanen blir </w:t>
      </w:r>
      <w:r w:rsidRPr="00117672">
        <w:rPr>
          <w:i/>
          <w:iCs/>
        </w:rPr>
        <w:t>juridisk bindende</w:t>
      </w:r>
      <w:r w:rsidRPr="00117672">
        <w:t>. Juridisk bindende vil her si at det ikke er anledning til å ta i</w:t>
      </w:r>
      <w:r w:rsidR="00E60A87">
        <w:t xml:space="preserve"> </w:t>
      </w:r>
      <w:r w:rsidRPr="00117672">
        <w:t>bruk, dele eller bebygge en eiendom på annen måte enn det som er fastsatt i plankart og i</w:t>
      </w:r>
    </w:p>
    <w:p w:rsidR="00117672" w:rsidRDefault="00117672" w:rsidP="00117672">
      <w:pPr>
        <w:autoSpaceDE w:val="0"/>
        <w:autoSpaceDN w:val="0"/>
        <w:adjustRightInd w:val="0"/>
      </w:pPr>
      <w:r w:rsidRPr="00117672">
        <w:t>reguleringsplanbestemmelser. Stadfestet reguleringsplan er grunnlag for ekspropriasjon etter reglene</w:t>
      </w:r>
      <w:r w:rsidR="00E60A87">
        <w:t xml:space="preserve"> </w:t>
      </w:r>
      <w:r w:rsidRPr="00117672">
        <w:t>i PBLs kapittel 16, (§ 12-4).</w:t>
      </w:r>
    </w:p>
    <w:p w:rsidR="00E60A87" w:rsidRPr="00117672" w:rsidRDefault="00E60A87" w:rsidP="00117672">
      <w:pPr>
        <w:autoSpaceDE w:val="0"/>
        <w:autoSpaceDN w:val="0"/>
        <w:adjustRightInd w:val="0"/>
      </w:pPr>
    </w:p>
    <w:p w:rsidR="00117672" w:rsidRDefault="00117672" w:rsidP="00117672">
      <w:pPr>
        <w:autoSpaceDE w:val="0"/>
        <w:autoSpaceDN w:val="0"/>
        <w:adjustRightInd w:val="0"/>
      </w:pPr>
      <w:r w:rsidRPr="00117672">
        <w:t>Når reguleringsplanarbeid settes i gang, skal berørte offentlige organer og andre interesser varsles, (§</w:t>
      </w:r>
      <w:r w:rsidR="00E60A87">
        <w:t xml:space="preserve"> </w:t>
      </w:r>
      <w:r w:rsidRPr="00117672">
        <w:t>12-8). For planer som kan få vesentlige virkninger for miljø og samfunn, skal det som ledd i</w:t>
      </w:r>
      <w:r w:rsidR="00E60A87">
        <w:t xml:space="preserve"> </w:t>
      </w:r>
      <w:r w:rsidRPr="00117672">
        <w:t xml:space="preserve">varslingen om planoppstart utarbeides </w:t>
      </w:r>
      <w:r w:rsidRPr="00117672">
        <w:rPr>
          <w:i/>
          <w:iCs/>
        </w:rPr>
        <w:t xml:space="preserve">planprogram </w:t>
      </w:r>
      <w:r w:rsidRPr="00117672">
        <w:t>etter reglene i PBLs § 4-1 som grunnlag for</w:t>
      </w:r>
      <w:r w:rsidR="00E60A87">
        <w:t xml:space="preserve"> </w:t>
      </w:r>
      <w:r w:rsidRPr="00117672">
        <w:t>planarbeidet, (§ 12-9)</w:t>
      </w:r>
      <w:r w:rsidRPr="00117672">
        <w:rPr>
          <w:i/>
          <w:iCs/>
        </w:rPr>
        <w:t xml:space="preserve">. </w:t>
      </w:r>
      <w:r w:rsidRPr="00117672">
        <w:t>Formålet til planprogrammet er at:</w:t>
      </w:r>
    </w:p>
    <w:p w:rsidR="00E60A87" w:rsidRPr="00117672" w:rsidRDefault="00E60A87" w:rsidP="00117672">
      <w:pPr>
        <w:autoSpaceDE w:val="0"/>
        <w:autoSpaceDN w:val="0"/>
        <w:adjustRightInd w:val="0"/>
      </w:pPr>
    </w:p>
    <w:p w:rsidR="00117672" w:rsidRPr="00117672" w:rsidRDefault="00117672" w:rsidP="00117672">
      <w:pPr>
        <w:autoSpaceDE w:val="0"/>
        <w:autoSpaceDN w:val="0"/>
        <w:adjustRightInd w:val="0"/>
        <w:rPr>
          <w:i/>
          <w:iCs/>
        </w:rPr>
      </w:pPr>
      <w:r w:rsidRPr="00117672">
        <w:rPr>
          <w:i/>
          <w:iCs/>
        </w:rPr>
        <w:t>”Planprogrammet skal gjøre rede for formålet med planarbeidet, planprosessen med frister og</w:t>
      </w:r>
    </w:p>
    <w:p w:rsidR="00117672" w:rsidRPr="00117672" w:rsidRDefault="00117672" w:rsidP="00117672">
      <w:pPr>
        <w:autoSpaceDE w:val="0"/>
        <w:autoSpaceDN w:val="0"/>
        <w:adjustRightInd w:val="0"/>
        <w:rPr>
          <w:i/>
          <w:iCs/>
        </w:rPr>
      </w:pPr>
      <w:r w:rsidRPr="00117672">
        <w:rPr>
          <w:i/>
          <w:iCs/>
        </w:rPr>
        <w:t>deltakere, opplegget for medvirkning, spesielt i forhold til grupper som antas å bli særlig berørt,</w:t>
      </w:r>
    </w:p>
    <w:p w:rsidR="00117672" w:rsidRPr="00117672" w:rsidRDefault="00117672" w:rsidP="00117672">
      <w:pPr>
        <w:autoSpaceDE w:val="0"/>
        <w:autoSpaceDN w:val="0"/>
        <w:adjustRightInd w:val="0"/>
      </w:pPr>
      <w:r w:rsidRPr="00117672">
        <w:rPr>
          <w:i/>
          <w:iCs/>
        </w:rPr>
        <w:t>hvilke alternativer som vil bli vurdert samt behovet for utredninger”</w:t>
      </w:r>
      <w:r w:rsidRPr="00117672">
        <w:t>, (§ 4-1). Forslaget til</w:t>
      </w:r>
    </w:p>
    <w:p w:rsidR="00117672" w:rsidRPr="00117672" w:rsidRDefault="00117672" w:rsidP="00117672">
      <w:pPr>
        <w:autoSpaceDE w:val="0"/>
        <w:autoSpaceDN w:val="0"/>
        <w:adjustRightInd w:val="0"/>
      </w:pPr>
      <w:r w:rsidRPr="00117672">
        <w:t>planprogram sendes på høring og legges ut til offentlig ettersyn samtidig med varsling av</w:t>
      </w:r>
    </w:p>
    <w:p w:rsidR="00117672" w:rsidRPr="00117672" w:rsidRDefault="00117672" w:rsidP="00117672">
      <w:pPr>
        <w:autoSpaceDE w:val="0"/>
        <w:autoSpaceDN w:val="0"/>
        <w:adjustRightInd w:val="0"/>
      </w:pPr>
      <w:r w:rsidRPr="00117672">
        <w:t>planoppstart, (§12-9). Planprogrammet fastsettes ordinært av planmyndigheten, (§§ 4-1, 12-9). I</w:t>
      </w:r>
    </w:p>
    <w:p w:rsidR="00117672" w:rsidRDefault="0017402C" w:rsidP="00117672">
      <w:pPr>
        <w:autoSpaceDE w:val="0"/>
        <w:autoSpaceDN w:val="0"/>
        <w:adjustRightInd w:val="0"/>
      </w:pPr>
      <w:r>
        <w:t>Lyngen</w:t>
      </w:r>
      <w:r w:rsidR="00117672" w:rsidRPr="00117672">
        <w:t xml:space="preserve"> kommune er formannskapet i henhold til </w:t>
      </w:r>
      <w:r w:rsidR="001C3736">
        <w:t>PBL</w:t>
      </w:r>
      <w:r w:rsidR="00117672" w:rsidRPr="00117672">
        <w:t xml:space="preserve"> </w:t>
      </w:r>
      <w:r w:rsidR="001C3736">
        <w:t xml:space="preserve">og Kommuneloven </w:t>
      </w:r>
      <w:r w:rsidR="00117672" w:rsidRPr="00117672">
        <w:t>delegert planmyndighetsansvar</w:t>
      </w:r>
      <w:r w:rsidR="001C3736">
        <w:t xml:space="preserve"> og innehar funksjon som </w:t>
      </w:r>
      <w:r w:rsidR="00117672" w:rsidRPr="00117672">
        <w:t>planutvalg</w:t>
      </w:r>
      <w:r w:rsidR="001C3736">
        <w:t xml:space="preserve"> og kan fastsette planprogram, (Jfr. vedtak 06.03.2015 i KST-sak 2015/7, Arkiv nr. 2015/898)</w:t>
      </w:r>
      <w:r w:rsidR="00117672" w:rsidRPr="00117672">
        <w:t>.</w:t>
      </w:r>
      <w:r>
        <w:t xml:space="preserve"> Planprogram for Tyttebærvika Industriområde ble fastsatt av Lyngen formannskap 12.06.2015, (FSK-sak 2015/63, Arkiv nr. 2015/15).</w:t>
      </w:r>
    </w:p>
    <w:p w:rsidR="00E60A87" w:rsidRPr="00117672" w:rsidRDefault="00E60A87" w:rsidP="00117672">
      <w:pPr>
        <w:autoSpaceDE w:val="0"/>
        <w:autoSpaceDN w:val="0"/>
        <w:adjustRightInd w:val="0"/>
      </w:pPr>
    </w:p>
    <w:p w:rsidR="00117672" w:rsidRPr="00117672" w:rsidRDefault="00117672" w:rsidP="00117672">
      <w:pPr>
        <w:autoSpaceDE w:val="0"/>
        <w:autoSpaceDN w:val="0"/>
        <w:adjustRightInd w:val="0"/>
      </w:pPr>
      <w:r w:rsidRPr="00117672">
        <w:t xml:space="preserve">Alle forslag til planer etter plan og bygningsloven skal ved offentlig ettersyn ha en </w:t>
      </w:r>
      <w:r w:rsidRPr="00117672">
        <w:rPr>
          <w:i/>
          <w:iCs/>
        </w:rPr>
        <w:t>planbeskrivelse</w:t>
      </w:r>
      <w:r w:rsidR="00E60A87">
        <w:rPr>
          <w:i/>
          <w:iCs/>
        </w:rPr>
        <w:t xml:space="preserve"> </w:t>
      </w:r>
      <w:r w:rsidRPr="00117672">
        <w:t>som beskriver planens formål, hovedinnhold og virkninger, samt planens forhold til rammer og</w:t>
      </w:r>
      <w:r w:rsidR="00E60A87">
        <w:t xml:space="preserve"> </w:t>
      </w:r>
      <w:r w:rsidRPr="00117672">
        <w:t>retningslinjer som gjelder for området. For reguleringsplaner som kan få vesentlige virkninger for</w:t>
      </w:r>
      <w:r w:rsidR="00E60A87">
        <w:t xml:space="preserve"> </w:t>
      </w:r>
      <w:r w:rsidRPr="00117672">
        <w:t>miljø og samfunn, skal planbeskrivelsen gi en særskilt vurdering og beskrivelse –</w:t>
      </w:r>
      <w:r w:rsidR="00E60A87">
        <w:t xml:space="preserve"> </w:t>
      </w:r>
      <w:r w:rsidRPr="00117672">
        <w:rPr>
          <w:i/>
          <w:iCs/>
        </w:rPr>
        <w:t xml:space="preserve">konsekvensutredning </w:t>
      </w:r>
      <w:r w:rsidRPr="00117672">
        <w:t>– av planens virkninger for miljø og samfunn, (§ 4-2).</w:t>
      </w:r>
    </w:p>
    <w:p w:rsidR="00E60A87" w:rsidRDefault="00117672" w:rsidP="00117672">
      <w:pPr>
        <w:autoSpaceDE w:val="0"/>
        <w:autoSpaceDN w:val="0"/>
        <w:adjustRightInd w:val="0"/>
      </w:pPr>
      <w:r w:rsidRPr="00117672">
        <w:t>Ved utarbeidelse av planer for utbygging skal planmyndigheten påse at risiko og sårbarhetsanalyse</w:t>
      </w:r>
      <w:r w:rsidR="00E60A87">
        <w:t xml:space="preserve"> </w:t>
      </w:r>
      <w:r w:rsidRPr="00117672">
        <w:t>gjennomføres for planområdet, eller selv foreta slik analyse. Analysen skal vise alle risiko- og</w:t>
      </w:r>
      <w:r w:rsidR="00E60A87">
        <w:t xml:space="preserve"> </w:t>
      </w:r>
      <w:r w:rsidRPr="00117672">
        <w:t>sårbarhetsforhold som har betydning for om arealet er egnet til utbyggingsformål, og eventuelle</w:t>
      </w:r>
      <w:r w:rsidR="00E60A87">
        <w:t xml:space="preserve"> </w:t>
      </w:r>
      <w:r w:rsidRPr="00117672">
        <w:t>endringer i slike forhold som følge av planlagt utbygging, (§ 4-5).</w:t>
      </w:r>
      <w:r w:rsidR="00E60A87">
        <w:t xml:space="preserve"> </w:t>
      </w:r>
    </w:p>
    <w:p w:rsidR="00E60A87" w:rsidRDefault="00E60A87" w:rsidP="00117672">
      <w:pPr>
        <w:autoSpaceDE w:val="0"/>
        <w:autoSpaceDN w:val="0"/>
        <w:adjustRightInd w:val="0"/>
      </w:pPr>
    </w:p>
    <w:p w:rsidR="00117672" w:rsidRPr="00117672" w:rsidRDefault="00117672" w:rsidP="00117672">
      <w:pPr>
        <w:autoSpaceDE w:val="0"/>
        <w:autoSpaceDN w:val="0"/>
        <w:adjustRightInd w:val="0"/>
      </w:pPr>
      <w:r w:rsidRPr="00117672">
        <w:t>Når det foreligger et utarbeidet planforslag med tilhørende planbestemmelser og utredninger, skal</w:t>
      </w:r>
      <w:r w:rsidR="00E60A87">
        <w:t xml:space="preserve"> </w:t>
      </w:r>
      <w:r w:rsidRPr="00117672">
        <w:t>dette sendes ut på høring og legges ut til offentlig ettersyn av kommunens planutvalg,</w:t>
      </w:r>
    </w:p>
    <w:p w:rsidR="00117672" w:rsidRPr="00117672" w:rsidRDefault="00117672" w:rsidP="00117672">
      <w:pPr>
        <w:autoSpaceDE w:val="0"/>
        <w:autoSpaceDN w:val="0"/>
        <w:adjustRightInd w:val="0"/>
      </w:pPr>
      <w:r w:rsidRPr="00117672">
        <w:rPr>
          <w:i/>
          <w:iCs/>
        </w:rPr>
        <w:t>(”førstegangsbehandling”</w:t>
      </w:r>
      <w:r w:rsidRPr="00117672">
        <w:t>). Frist til å avgi uttalelse og eventuelt fremme innsigelse skal være minst</w:t>
      </w:r>
      <w:r w:rsidR="00E60A87">
        <w:t xml:space="preserve"> </w:t>
      </w:r>
      <w:r w:rsidRPr="00117672">
        <w:t>seks uker. Registrerte grunneiere og festere og så vidt mulig andre rettighetshavere i planområdet</w:t>
      </w:r>
      <w:r w:rsidR="00E60A87">
        <w:t xml:space="preserve"> </w:t>
      </w:r>
      <w:r w:rsidRPr="00117672">
        <w:t>samt naboer, skal når de blir direkte berørt, på hensiktsmessig måte underrettes om forslag til</w:t>
      </w:r>
      <w:r w:rsidR="00E60A87">
        <w:t xml:space="preserve"> </w:t>
      </w:r>
      <w:r w:rsidRPr="00117672">
        <w:t>reguleringsplan med opplysning om hvor den er tilgjengelig. Når fristen er ute tar kommunen</w:t>
      </w:r>
      <w:r w:rsidR="00E60A87">
        <w:t xml:space="preserve"> </w:t>
      </w:r>
      <w:r w:rsidRPr="00117672">
        <w:t>plansaken opp til behandling med de merknader som er kommet inn, (§ 12-10).</w:t>
      </w:r>
    </w:p>
    <w:p w:rsidR="00E60A87" w:rsidRDefault="00E60A87" w:rsidP="00117672">
      <w:pPr>
        <w:autoSpaceDE w:val="0"/>
        <w:autoSpaceDN w:val="0"/>
        <w:adjustRightInd w:val="0"/>
      </w:pPr>
    </w:p>
    <w:p w:rsidR="00117672" w:rsidRDefault="00117672" w:rsidP="00117672">
      <w:pPr>
        <w:autoSpaceDE w:val="0"/>
        <w:autoSpaceDN w:val="0"/>
        <w:adjustRightInd w:val="0"/>
      </w:pPr>
      <w:r w:rsidRPr="00117672">
        <w:t>Når forslag til reguleringsplan er ferdigbehandlet, (og eventuelt justert), etter merknadsbehandlingen,</w:t>
      </w:r>
      <w:r w:rsidR="00E60A87">
        <w:t xml:space="preserve"> </w:t>
      </w:r>
      <w:r w:rsidRPr="00117672">
        <w:t>legges planforslaget fram for kommunestyret for vedtak, eventuelt i alternativer,</w:t>
      </w:r>
      <w:r w:rsidR="00E60A87">
        <w:t xml:space="preserve"> </w:t>
      </w:r>
      <w:r w:rsidRPr="00117672">
        <w:rPr>
          <w:i/>
          <w:iCs/>
        </w:rPr>
        <w:t>(”andregangsbehandling”</w:t>
      </w:r>
      <w:r w:rsidRPr="00117672">
        <w:t>). Av saksfremlegget skal det fremgå hvordan innkomne uttalelser til</w:t>
      </w:r>
      <w:r w:rsidR="00E60A87">
        <w:t xml:space="preserve"> </w:t>
      </w:r>
      <w:r w:rsidRPr="00117672">
        <w:t>forslaget og konsekvensene av planen har vært vurdert, og hvilken betydning disse er tillagt.</w:t>
      </w:r>
    </w:p>
    <w:p w:rsidR="00E60A87" w:rsidRPr="00117672" w:rsidRDefault="00E60A87" w:rsidP="00117672">
      <w:pPr>
        <w:autoSpaceDE w:val="0"/>
        <w:autoSpaceDN w:val="0"/>
        <w:adjustRightInd w:val="0"/>
      </w:pPr>
    </w:p>
    <w:p w:rsidR="00117672" w:rsidRPr="00117672" w:rsidRDefault="00117672" w:rsidP="00117672">
      <w:pPr>
        <w:autoSpaceDE w:val="0"/>
        <w:autoSpaceDN w:val="0"/>
        <w:adjustRightInd w:val="0"/>
      </w:pPr>
      <w:r w:rsidRPr="00117672">
        <w:lastRenderedPageBreak/>
        <w:t>Kommunestyret må treffe vedtak om planen senest tolv uker etter at planforslaget er ferdigbehandlet.</w:t>
      </w:r>
      <w:r w:rsidR="00E60A87">
        <w:t xml:space="preserve"> </w:t>
      </w:r>
      <w:r w:rsidRPr="00117672">
        <w:t>Er kommunestyret ikke enig i forslaget, kan det sende saken tilbake til ny behandling. Det kan også</w:t>
      </w:r>
      <w:r w:rsidR="00E60A87">
        <w:t xml:space="preserve"> </w:t>
      </w:r>
      <w:r w:rsidRPr="00117672">
        <w:t>gi retningslinjer for det videre arbeidet med planen., (§ 12-12).</w:t>
      </w:r>
    </w:p>
    <w:p w:rsidR="00117672" w:rsidRPr="00117672" w:rsidRDefault="00117672" w:rsidP="00117672">
      <w:pPr>
        <w:autoSpaceDE w:val="0"/>
        <w:autoSpaceDN w:val="0"/>
        <w:adjustRightInd w:val="0"/>
      </w:pPr>
      <w:r w:rsidRPr="00117672">
        <w:t>Kommunestyrets endelige vedtak om reguleringsplan kan påklages i henhold til plan og</w:t>
      </w:r>
    </w:p>
    <w:p w:rsidR="0082679E" w:rsidRPr="00117672" w:rsidRDefault="00117672" w:rsidP="00E60A87">
      <w:pPr>
        <w:autoSpaceDE w:val="0"/>
        <w:autoSpaceDN w:val="0"/>
        <w:adjustRightInd w:val="0"/>
        <w:rPr>
          <w:b/>
        </w:rPr>
      </w:pPr>
      <w:r w:rsidRPr="00117672">
        <w:t>bygningslovens § 1-9. Når planen er vedtatt, skal registrerte grunneiere og festere i planområdet, og</w:t>
      </w:r>
      <w:r w:rsidR="00E60A87">
        <w:t xml:space="preserve"> </w:t>
      </w:r>
      <w:r w:rsidRPr="00117672">
        <w:t>så vidt mulig andre rettighetshavere i planområdet og naboer til planområdet, når de blir direkte</w:t>
      </w:r>
      <w:r w:rsidR="00E60A87">
        <w:t xml:space="preserve"> </w:t>
      </w:r>
      <w:r w:rsidRPr="00117672">
        <w:t>berørt, underrettes særskilt ved brev. Underretningen skal inneholde opplysninger om klageadgangen</w:t>
      </w:r>
      <w:r w:rsidR="00E60A87">
        <w:t xml:space="preserve"> </w:t>
      </w:r>
      <w:r w:rsidRPr="00117672">
        <w:t>og frist for klage, (§ 12-12). Innsigelse til reguleringsplan forelegges departementet for avgjørelse</w:t>
      </w:r>
      <w:r w:rsidR="00E60A87">
        <w:t xml:space="preserve"> </w:t>
      </w:r>
      <w:r w:rsidRPr="00117672">
        <w:t>om den skal tas til følge eller ikke, (§ 12-13).</w:t>
      </w:r>
    </w:p>
    <w:p w:rsidR="0082679E" w:rsidRPr="00117672" w:rsidRDefault="0082679E" w:rsidP="00E71B0D">
      <w:pPr>
        <w:rPr>
          <w:b/>
        </w:rPr>
      </w:pPr>
    </w:p>
    <w:p w:rsidR="0082679E" w:rsidRPr="00F01A88" w:rsidRDefault="0082679E" w:rsidP="00E71B0D">
      <w:pPr>
        <w:rPr>
          <w:b/>
        </w:rPr>
      </w:pPr>
      <w:r w:rsidRPr="00F01A88">
        <w:rPr>
          <w:b/>
        </w:rPr>
        <w:t>Planarbeidet – hovedfunn utredninger</w:t>
      </w:r>
    </w:p>
    <w:p w:rsidR="0082679E" w:rsidRPr="00FA0F9E" w:rsidRDefault="0082679E" w:rsidP="00E71B0D">
      <w:pPr>
        <w:rPr>
          <w:b/>
        </w:rPr>
      </w:pPr>
    </w:p>
    <w:p w:rsidR="00FA0F9E" w:rsidRDefault="00C3196C" w:rsidP="00E60A87">
      <w:pPr>
        <w:pStyle w:val="Default"/>
        <w:rPr>
          <w:rFonts w:ascii="Times New Roman" w:hAnsi="Times New Roman" w:cs="Times New Roman"/>
        </w:rPr>
      </w:pPr>
      <w:r w:rsidRPr="00FA0F9E">
        <w:rPr>
          <w:rFonts w:ascii="Times New Roman" w:hAnsi="Times New Roman" w:cs="Times New Roman"/>
        </w:rPr>
        <w:t xml:space="preserve">Planområdet </w:t>
      </w:r>
      <w:r w:rsidR="00E60A87" w:rsidRPr="00FA0F9E">
        <w:rPr>
          <w:rFonts w:ascii="Times New Roman" w:hAnsi="Times New Roman" w:cs="Times New Roman"/>
        </w:rPr>
        <w:t>ligger inn under beiteområdet til Kjosen – Fastdalen sauesankelag. Sankelaget disponerer ca. 63564 daa tilgjengelig beiteareal. 68</w:t>
      </w:r>
      <w:r w:rsidR="0037630C">
        <w:rPr>
          <w:rFonts w:ascii="Times New Roman" w:hAnsi="Times New Roman" w:cs="Times New Roman"/>
        </w:rPr>
        <w:t xml:space="preserve"> </w:t>
      </w:r>
      <w:r w:rsidR="00E60A87" w:rsidRPr="00FA0F9E">
        <w:rPr>
          <w:rFonts w:ascii="Times New Roman" w:hAnsi="Times New Roman" w:cs="Times New Roman"/>
        </w:rPr>
        <w:t>% av dette arealet er nyttbart for sau, og 26</w:t>
      </w:r>
      <w:r w:rsidR="0037630C">
        <w:rPr>
          <w:rFonts w:ascii="Times New Roman" w:hAnsi="Times New Roman" w:cs="Times New Roman"/>
        </w:rPr>
        <w:t> </w:t>
      </w:r>
      <w:r w:rsidR="00E60A87" w:rsidRPr="00FA0F9E">
        <w:rPr>
          <w:rFonts w:ascii="Times New Roman" w:hAnsi="Times New Roman" w:cs="Times New Roman"/>
        </w:rPr>
        <w:t>% er kl</w:t>
      </w:r>
      <w:r w:rsidR="00FA0F9E">
        <w:rPr>
          <w:rFonts w:ascii="Times New Roman" w:hAnsi="Times New Roman" w:cs="Times New Roman"/>
        </w:rPr>
        <w:t xml:space="preserve">assifisert som svært godt beite. </w:t>
      </w:r>
      <w:r w:rsidR="00E60A87" w:rsidRPr="00FA0F9E">
        <w:rPr>
          <w:rFonts w:ascii="Times New Roman" w:hAnsi="Times New Roman" w:cs="Times New Roman"/>
        </w:rPr>
        <w:t>Basert på utarbeidet beitekartlegging (NIJOS – nå Norsk institutt for bioøkonomi - NIBO), inngår det beiteområder som er klassifisert som svært godt-, godt- og mindre godt i planområdet.</w:t>
      </w:r>
    </w:p>
    <w:p w:rsidR="00E60A87" w:rsidRPr="00FA0F9E" w:rsidRDefault="00E60A87" w:rsidP="00E60A87">
      <w:pPr>
        <w:pStyle w:val="Default"/>
        <w:rPr>
          <w:rFonts w:ascii="Times New Roman" w:hAnsi="Times New Roman" w:cs="Times New Roman"/>
        </w:rPr>
      </w:pPr>
      <w:r w:rsidRPr="00FA0F9E">
        <w:rPr>
          <w:rFonts w:ascii="Times New Roman" w:hAnsi="Times New Roman" w:cs="Times New Roman"/>
        </w:rPr>
        <w:t xml:space="preserve"> </w:t>
      </w:r>
    </w:p>
    <w:p w:rsidR="0082679E" w:rsidRPr="00FA0F9E" w:rsidRDefault="00E60A87" w:rsidP="00E60A87">
      <w:pPr>
        <w:rPr>
          <w:b/>
        </w:rPr>
      </w:pPr>
      <w:r w:rsidRPr="00FA0F9E">
        <w:t>Reindrifta benytter Lyngenshalvøya som sommerbeite for rein. Nord i planområdet går det en flyttlei for rein.</w:t>
      </w:r>
      <w:r w:rsidR="0037630C">
        <w:t xml:space="preserve"> Denne f</w:t>
      </w:r>
      <w:r w:rsidRPr="00FA0F9E">
        <w:t>lyttle</w:t>
      </w:r>
      <w:r w:rsidR="0037630C">
        <w:t xml:space="preserve">ia ligger inne som hensynssone </w:t>
      </w:r>
      <w:r w:rsidR="0037630C" w:rsidRPr="0037630C">
        <w:rPr>
          <w:i/>
        </w:rPr>
        <w:t>«R</w:t>
      </w:r>
      <w:r w:rsidRPr="0037630C">
        <w:rPr>
          <w:i/>
        </w:rPr>
        <w:t>eindrift</w:t>
      </w:r>
      <w:r w:rsidR="0037630C" w:rsidRPr="0037630C">
        <w:rPr>
          <w:i/>
        </w:rPr>
        <w:t>»</w:t>
      </w:r>
      <w:r w:rsidRPr="00FA0F9E">
        <w:t xml:space="preserve"> i kommuneplanens arealdel.</w:t>
      </w:r>
    </w:p>
    <w:p w:rsidR="0082679E" w:rsidRPr="00FA0F9E" w:rsidRDefault="0082679E" w:rsidP="00E71B0D">
      <w:pPr>
        <w:rPr>
          <w:b/>
        </w:rPr>
      </w:pPr>
    </w:p>
    <w:p w:rsidR="0082679E" w:rsidRPr="00FA0F9E" w:rsidRDefault="0037630C" w:rsidP="00FA0F9E">
      <w:pPr>
        <w:pStyle w:val="Default"/>
        <w:rPr>
          <w:rFonts w:ascii="Times New Roman" w:hAnsi="Times New Roman" w:cs="Times New Roman"/>
          <w:b/>
        </w:rPr>
      </w:pPr>
      <w:r>
        <w:rPr>
          <w:rFonts w:ascii="Times New Roman" w:hAnsi="Times New Roman" w:cs="Times New Roman"/>
        </w:rPr>
        <w:t>Plano</w:t>
      </w:r>
      <w:r w:rsidR="00C3196C" w:rsidRPr="00FA0F9E">
        <w:rPr>
          <w:rFonts w:ascii="Times New Roman" w:hAnsi="Times New Roman" w:cs="Times New Roman"/>
        </w:rPr>
        <w:t>mrådet er kontrollert mot kulturminnebasen Askeladden. I denne basene er det ikke registrert kulturminner i området. I følge opplysninger fra Sametinget er det ikke konflikt i forhold til samiske kulturminner. Det er heller ingen spesielle kulturmiljøer innen planområdet.</w:t>
      </w:r>
    </w:p>
    <w:p w:rsidR="00C3196C" w:rsidRPr="00FA0F9E" w:rsidRDefault="00C3196C" w:rsidP="00E71B0D">
      <w:pPr>
        <w:rPr>
          <w:b/>
        </w:rPr>
      </w:pPr>
    </w:p>
    <w:p w:rsidR="00C3196C" w:rsidRPr="00FA0F9E" w:rsidRDefault="00FA0F9E" w:rsidP="00FA0F9E">
      <w:pPr>
        <w:pStyle w:val="Default"/>
        <w:rPr>
          <w:rFonts w:ascii="Times New Roman" w:hAnsi="Times New Roman" w:cs="Times New Roman"/>
          <w:b/>
        </w:rPr>
      </w:pPr>
      <w:r w:rsidRPr="00FA0F9E">
        <w:rPr>
          <w:rFonts w:ascii="Times New Roman" w:hAnsi="Times New Roman" w:cs="Times New Roman"/>
        </w:rPr>
        <w:t>I</w:t>
      </w:r>
      <w:r w:rsidR="0037630C">
        <w:rPr>
          <w:rFonts w:ascii="Times New Roman" w:hAnsi="Times New Roman" w:cs="Times New Roman"/>
        </w:rPr>
        <w:t xml:space="preserve"> p</w:t>
      </w:r>
      <w:r w:rsidRPr="00FA0F9E">
        <w:rPr>
          <w:rFonts w:ascii="Times New Roman" w:hAnsi="Times New Roman" w:cs="Times New Roman"/>
        </w:rPr>
        <w:t xml:space="preserve">lanområdet </w:t>
      </w:r>
      <w:r w:rsidR="0037630C">
        <w:rPr>
          <w:rFonts w:ascii="Times New Roman" w:hAnsi="Times New Roman" w:cs="Times New Roman"/>
        </w:rPr>
        <w:t>genereres</w:t>
      </w:r>
      <w:r w:rsidRPr="00FA0F9E">
        <w:rPr>
          <w:rFonts w:ascii="Times New Roman" w:hAnsi="Times New Roman" w:cs="Times New Roman"/>
        </w:rPr>
        <w:t xml:space="preserve"> støy og støv ved produksjon og uttransportering av ferdigmasse fra bruddet.</w:t>
      </w:r>
      <w:r>
        <w:rPr>
          <w:rFonts w:ascii="Times New Roman" w:hAnsi="Times New Roman" w:cs="Times New Roman"/>
        </w:rPr>
        <w:t xml:space="preserve"> </w:t>
      </w:r>
      <w:r w:rsidRPr="00FA0F9E">
        <w:rPr>
          <w:rFonts w:ascii="Times New Roman" w:hAnsi="Times New Roman" w:cs="Times New Roman"/>
        </w:rPr>
        <w:t xml:space="preserve">Når asfaltproduksjonsanlegget er i drift, skaper dette støy, samt støv fra transportkjøretøy. ÅDT (års-døgn-trafikk) på </w:t>
      </w:r>
      <w:r w:rsidR="00834B42">
        <w:rPr>
          <w:rFonts w:ascii="Times New Roman" w:hAnsi="Times New Roman" w:cs="Times New Roman"/>
        </w:rPr>
        <w:t>Fv.</w:t>
      </w:r>
      <w:r w:rsidR="0037630C">
        <w:rPr>
          <w:rFonts w:ascii="Times New Roman" w:hAnsi="Times New Roman" w:cs="Times New Roman"/>
        </w:rPr>
        <w:t xml:space="preserve"> </w:t>
      </w:r>
      <w:r w:rsidRPr="00FA0F9E">
        <w:rPr>
          <w:rFonts w:ascii="Times New Roman" w:hAnsi="Times New Roman" w:cs="Times New Roman"/>
        </w:rPr>
        <w:t>91 er 560. Beregnet samlet støy fra steinbruddet og støy fra biltrafikk gir rød støysone for de nærmeste arealene til fylkesveien gjennom planområdet.</w:t>
      </w:r>
    </w:p>
    <w:p w:rsidR="00FA0F9E" w:rsidRPr="00FA0F9E" w:rsidRDefault="00FA0F9E" w:rsidP="00E71B0D">
      <w:pPr>
        <w:rPr>
          <w:b/>
        </w:rPr>
      </w:pPr>
    </w:p>
    <w:p w:rsidR="00FA0F9E" w:rsidRPr="00FA0F9E" w:rsidRDefault="00FA0F9E" w:rsidP="00FA0F9E">
      <w:pPr>
        <w:pStyle w:val="Default"/>
        <w:rPr>
          <w:rFonts w:ascii="Times New Roman" w:hAnsi="Times New Roman" w:cs="Times New Roman"/>
          <w:b/>
        </w:rPr>
      </w:pPr>
      <w:r w:rsidRPr="00FA0F9E">
        <w:rPr>
          <w:rFonts w:ascii="Times New Roman" w:hAnsi="Times New Roman" w:cs="Times New Roman"/>
        </w:rPr>
        <w:t xml:space="preserve">Potensiell fare for ras og flom er knyttet til områdene nordvest i planområdet, på vestsiden av Tyttebærelva samt på nordsiden av Tyttebæraksla. Tyttebærelva </w:t>
      </w:r>
      <w:r w:rsidR="0037630C">
        <w:rPr>
          <w:rFonts w:ascii="Times New Roman" w:hAnsi="Times New Roman" w:cs="Times New Roman"/>
        </w:rPr>
        <w:t>og</w:t>
      </w:r>
      <w:r w:rsidR="0037630C" w:rsidRPr="00FA0F9E">
        <w:rPr>
          <w:rFonts w:ascii="Times New Roman" w:hAnsi="Times New Roman" w:cs="Times New Roman"/>
        </w:rPr>
        <w:t xml:space="preserve"> en mindre bekk nordvest for Tyttebæraksla</w:t>
      </w:r>
      <w:r w:rsidR="0037630C">
        <w:rPr>
          <w:rFonts w:ascii="Times New Roman" w:hAnsi="Times New Roman" w:cs="Times New Roman"/>
        </w:rPr>
        <w:t>,</w:t>
      </w:r>
      <w:r w:rsidR="0037630C" w:rsidRPr="00FA0F9E">
        <w:rPr>
          <w:rFonts w:ascii="Times New Roman" w:hAnsi="Times New Roman" w:cs="Times New Roman"/>
        </w:rPr>
        <w:t xml:space="preserve"> </w:t>
      </w:r>
      <w:r w:rsidRPr="00FA0F9E">
        <w:rPr>
          <w:rFonts w:ascii="Times New Roman" w:hAnsi="Times New Roman" w:cs="Times New Roman"/>
        </w:rPr>
        <w:t xml:space="preserve">renner gjennom planområdet, </w:t>
      </w:r>
      <w:r w:rsidR="0037630C">
        <w:rPr>
          <w:rFonts w:ascii="Times New Roman" w:hAnsi="Times New Roman" w:cs="Times New Roman"/>
        </w:rPr>
        <w:t>Tyttebære</w:t>
      </w:r>
      <w:r w:rsidRPr="00FA0F9E">
        <w:rPr>
          <w:rFonts w:ascii="Times New Roman" w:hAnsi="Times New Roman" w:cs="Times New Roman"/>
        </w:rPr>
        <w:t>lva benyttes i kraftproduksjon (minikraftverk). Bekken og elva er ikke kjent som flomutsatt. Det finnes ingen kjente kildeutspring eller grunnvannsforekomster i masseuttaksområdet. I kommuneplanens arealdel omfatter faresone ras og skred de nordvestlige delene av planområdet.</w:t>
      </w:r>
    </w:p>
    <w:p w:rsidR="00C3196C" w:rsidRPr="00FA0F9E" w:rsidRDefault="00C3196C" w:rsidP="00E71B0D">
      <w:pPr>
        <w:rPr>
          <w:b/>
        </w:rPr>
      </w:pPr>
    </w:p>
    <w:p w:rsidR="00FA0F9E" w:rsidRDefault="00FA0F9E" w:rsidP="00E71B0D">
      <w:r w:rsidRPr="00FA0F9E">
        <w:t>Tyttebærneset og strandsonen innen planområdet benyttes tidvis til rekreasjon, fiske og friluftsliv. Tyttebærvika er en av to adkom</w:t>
      </w:r>
      <w:r w:rsidR="0037630C">
        <w:t>stmuligheter til Tyttebærdalen.</w:t>
      </w:r>
    </w:p>
    <w:p w:rsidR="0037630C" w:rsidRPr="00FA0F9E" w:rsidRDefault="0037630C" w:rsidP="00E71B0D">
      <w:pPr>
        <w:rPr>
          <w:b/>
        </w:rPr>
      </w:pPr>
    </w:p>
    <w:p w:rsidR="00FA0F9E" w:rsidRPr="00FA0F9E" w:rsidRDefault="00FA0F9E" w:rsidP="00FA0F9E">
      <w:pPr>
        <w:pStyle w:val="Default"/>
        <w:rPr>
          <w:rFonts w:ascii="Times New Roman" w:hAnsi="Times New Roman" w:cs="Times New Roman"/>
          <w:b/>
        </w:rPr>
      </w:pPr>
      <w:r w:rsidRPr="00FA0F9E">
        <w:rPr>
          <w:rFonts w:ascii="Times New Roman" w:hAnsi="Times New Roman" w:cs="Times New Roman"/>
        </w:rPr>
        <w:t xml:space="preserve">Fylkesveg 91 går gjennom planområdet, mellom sjøen og uttaksområde/næringsområde. Normal fartsgrense er 80 km/t, men fartsgrensen er midlertidig nedsatt til 50 km/t. </w:t>
      </w:r>
      <w:r w:rsidR="00834B42">
        <w:rPr>
          <w:rFonts w:ascii="Times New Roman" w:hAnsi="Times New Roman" w:cs="Times New Roman"/>
        </w:rPr>
        <w:t>Fv.</w:t>
      </w:r>
      <w:r>
        <w:rPr>
          <w:rFonts w:ascii="Times New Roman" w:hAnsi="Times New Roman" w:cs="Times New Roman"/>
        </w:rPr>
        <w:t xml:space="preserve"> </w:t>
      </w:r>
      <w:r w:rsidRPr="00FA0F9E">
        <w:rPr>
          <w:rFonts w:ascii="Times New Roman" w:hAnsi="Times New Roman" w:cs="Times New Roman"/>
        </w:rPr>
        <w:t xml:space="preserve">91 krysser Tyttebærelva med en smal bru, hvor to kjøretøyer ikke kan møtes. Avkjøring fra fylkesvegen til dagens uttaks-/næringsområde skjer via en avkjøringslomme. Avkjøring til kai-/havneområde er rett øst for brua over Tyttebærelva. Intern kjøreveg i planområdet leder fram til </w:t>
      </w:r>
      <w:r>
        <w:rPr>
          <w:rFonts w:ascii="Times New Roman" w:hAnsi="Times New Roman" w:cs="Times New Roman"/>
        </w:rPr>
        <w:t xml:space="preserve">  g</w:t>
      </w:r>
      <w:r w:rsidRPr="00FA0F9E">
        <w:rPr>
          <w:rFonts w:ascii="Times New Roman" w:hAnsi="Times New Roman" w:cs="Times New Roman"/>
        </w:rPr>
        <w:t>rusuttaksområdet i nord. I dette området parkerer turgåere som skal videre innover i Tyttebærdalen og Lyngsalpan.</w:t>
      </w:r>
    </w:p>
    <w:p w:rsidR="00FA0F9E" w:rsidRPr="00FA0F9E" w:rsidRDefault="00FA0F9E" w:rsidP="00E71B0D">
      <w:pPr>
        <w:rPr>
          <w:b/>
        </w:rPr>
      </w:pPr>
    </w:p>
    <w:p w:rsidR="00FA0F9E" w:rsidRPr="00FA0F9E" w:rsidRDefault="00FA0F9E" w:rsidP="00FA0F9E">
      <w:pPr>
        <w:pStyle w:val="Default"/>
        <w:rPr>
          <w:rFonts w:ascii="Times New Roman" w:hAnsi="Times New Roman" w:cs="Times New Roman"/>
          <w:b/>
        </w:rPr>
      </w:pPr>
      <w:r w:rsidRPr="00FA0F9E">
        <w:rPr>
          <w:rFonts w:ascii="Times New Roman" w:hAnsi="Times New Roman" w:cs="Times New Roman"/>
        </w:rPr>
        <w:t>Havneområdet benyttes i dag hovedsakelig til lager av blokkstein fra bruddet. Kaia benyttes for lossing av bruddstein og ferdigvare</w:t>
      </w:r>
      <w:r w:rsidR="0037630C">
        <w:rPr>
          <w:rFonts w:ascii="Times New Roman" w:hAnsi="Times New Roman" w:cs="Times New Roman"/>
        </w:rPr>
        <w:t xml:space="preserve">. Det er anlagt et </w:t>
      </w:r>
      <w:r w:rsidRPr="00FA0F9E">
        <w:rPr>
          <w:rFonts w:ascii="Times New Roman" w:hAnsi="Times New Roman" w:cs="Times New Roman"/>
        </w:rPr>
        <w:t xml:space="preserve">transportbånd fra uttaksområdet i kulvert </w:t>
      </w:r>
      <w:r w:rsidRPr="00FA0F9E">
        <w:rPr>
          <w:rFonts w:ascii="Times New Roman" w:hAnsi="Times New Roman" w:cs="Times New Roman"/>
        </w:rPr>
        <w:lastRenderedPageBreak/>
        <w:t xml:space="preserve">under </w:t>
      </w:r>
      <w:r w:rsidR="00834B42">
        <w:rPr>
          <w:rFonts w:ascii="Times New Roman" w:hAnsi="Times New Roman" w:cs="Times New Roman"/>
        </w:rPr>
        <w:t>Fv.</w:t>
      </w:r>
      <w:r>
        <w:rPr>
          <w:rFonts w:ascii="Times New Roman" w:hAnsi="Times New Roman" w:cs="Times New Roman"/>
        </w:rPr>
        <w:t xml:space="preserve"> </w:t>
      </w:r>
      <w:r w:rsidRPr="00FA0F9E">
        <w:rPr>
          <w:rFonts w:ascii="Times New Roman" w:hAnsi="Times New Roman" w:cs="Times New Roman"/>
        </w:rPr>
        <w:t>91</w:t>
      </w:r>
      <w:r w:rsidR="0037630C">
        <w:rPr>
          <w:rFonts w:ascii="Times New Roman" w:hAnsi="Times New Roman" w:cs="Times New Roman"/>
        </w:rPr>
        <w:t xml:space="preserve"> til kaianlegget</w:t>
      </w:r>
      <w:r w:rsidRPr="00FA0F9E">
        <w:rPr>
          <w:rFonts w:ascii="Times New Roman" w:hAnsi="Times New Roman" w:cs="Times New Roman"/>
        </w:rPr>
        <w:t>. I området øst for kaia finnes det to fortøyningsfester på land. Havna er godkjent som assuransehavn for fiske- og fritidsbåter (båter som krever forsikring må være fortøyd i assuransehavn).</w:t>
      </w:r>
    </w:p>
    <w:p w:rsidR="00FA0F9E" w:rsidRPr="00FA0F9E" w:rsidRDefault="00FA0F9E" w:rsidP="00E71B0D">
      <w:pPr>
        <w:rPr>
          <w:b/>
        </w:rPr>
      </w:pPr>
    </w:p>
    <w:p w:rsidR="00FA0F9E" w:rsidRPr="00F01A88" w:rsidRDefault="00FA0F9E" w:rsidP="00FA0F9E">
      <w:pPr>
        <w:rPr>
          <w:b/>
        </w:rPr>
      </w:pPr>
      <w:r w:rsidRPr="00F01A88">
        <w:rPr>
          <w:b/>
        </w:rPr>
        <w:t>Planarbeidet – virkning og konsekvensvurdering av planløsninger</w:t>
      </w:r>
    </w:p>
    <w:p w:rsidR="00FA0F9E" w:rsidRPr="00DF0246" w:rsidRDefault="00FA0F9E" w:rsidP="00FA0F9E">
      <w:pPr>
        <w:pStyle w:val="Default"/>
        <w:rPr>
          <w:rFonts w:ascii="Times New Roman" w:hAnsi="Times New Roman" w:cs="Times New Roman"/>
        </w:rPr>
      </w:pPr>
    </w:p>
    <w:p w:rsidR="007E3EC0" w:rsidRPr="008F4F6B" w:rsidRDefault="007E3EC0" w:rsidP="00FA0F9E">
      <w:pPr>
        <w:pStyle w:val="Default"/>
        <w:rPr>
          <w:rFonts w:ascii="Times New Roman" w:hAnsi="Times New Roman" w:cs="Times New Roman"/>
          <w:b/>
          <w:i/>
        </w:rPr>
      </w:pPr>
      <w:r w:rsidRPr="008F4F6B">
        <w:rPr>
          <w:rFonts w:ascii="Times New Roman" w:hAnsi="Times New Roman" w:cs="Times New Roman"/>
          <w:b/>
          <w:i/>
        </w:rPr>
        <w:t>Universell utforming</w:t>
      </w:r>
    </w:p>
    <w:p w:rsidR="007E3EC0" w:rsidRDefault="007E3EC0" w:rsidP="00FA0F9E">
      <w:pPr>
        <w:pStyle w:val="Default"/>
        <w:rPr>
          <w:rFonts w:ascii="Times New Roman" w:hAnsi="Times New Roman" w:cs="Times New Roman"/>
        </w:rPr>
      </w:pPr>
    </w:p>
    <w:p w:rsidR="00FA0F9E" w:rsidRPr="00DF0246" w:rsidRDefault="00FA0F9E" w:rsidP="00FA0F9E">
      <w:pPr>
        <w:pStyle w:val="Default"/>
        <w:rPr>
          <w:rFonts w:ascii="Times New Roman" w:hAnsi="Times New Roman" w:cs="Times New Roman"/>
        </w:rPr>
      </w:pPr>
      <w:r w:rsidRPr="00DF0246">
        <w:rPr>
          <w:rFonts w:ascii="Times New Roman" w:hAnsi="Times New Roman" w:cs="Times New Roman"/>
        </w:rPr>
        <w:t xml:space="preserve">Det skal sikes størst mulig grad av </w:t>
      </w:r>
      <w:r w:rsidRPr="007E3EC0">
        <w:rPr>
          <w:rFonts w:ascii="Times New Roman" w:hAnsi="Times New Roman" w:cs="Times New Roman"/>
        </w:rPr>
        <w:t xml:space="preserve">universell utforming </w:t>
      </w:r>
      <w:r w:rsidRPr="00DF0246">
        <w:rPr>
          <w:rFonts w:ascii="Times New Roman" w:hAnsi="Times New Roman" w:cs="Times New Roman"/>
        </w:rPr>
        <w:t xml:space="preserve">innen planområdet. Det vil si at det skal sørges for best mulig tilgjengelighet til områder og bygninger innenfor planområdet. Forskrift om tekniske krav til byggverk (TEK-10), skal være førende for nye etableringer innen reguleringsplanområdet. </w:t>
      </w:r>
    </w:p>
    <w:p w:rsidR="00FA0F9E" w:rsidRDefault="00FA0F9E" w:rsidP="00FA0F9E">
      <w:pPr>
        <w:pStyle w:val="Default"/>
        <w:rPr>
          <w:rFonts w:ascii="Times New Roman" w:hAnsi="Times New Roman" w:cs="Times New Roman"/>
          <w:b/>
          <w:bCs/>
        </w:rPr>
      </w:pPr>
    </w:p>
    <w:p w:rsidR="007E3EC0" w:rsidRPr="008F4F6B" w:rsidRDefault="007E3EC0" w:rsidP="00FA0F9E">
      <w:pPr>
        <w:pStyle w:val="Default"/>
        <w:rPr>
          <w:rFonts w:ascii="Times New Roman" w:hAnsi="Times New Roman" w:cs="Times New Roman"/>
          <w:b/>
          <w:bCs/>
          <w:i/>
        </w:rPr>
      </w:pPr>
      <w:r w:rsidRPr="008F4F6B">
        <w:rPr>
          <w:rFonts w:ascii="Times New Roman" w:hAnsi="Times New Roman" w:cs="Times New Roman"/>
          <w:b/>
          <w:i/>
        </w:rPr>
        <w:t>Samfunnssikkerhet, risiko- og sårbarhetsanalyse</w:t>
      </w:r>
    </w:p>
    <w:p w:rsidR="007E3EC0" w:rsidRPr="00DF0246" w:rsidRDefault="007E3EC0" w:rsidP="00FA0F9E">
      <w:pPr>
        <w:pStyle w:val="Default"/>
        <w:rPr>
          <w:rFonts w:ascii="Times New Roman" w:hAnsi="Times New Roman" w:cs="Times New Roman"/>
          <w:b/>
          <w:bCs/>
        </w:rPr>
      </w:pPr>
    </w:p>
    <w:p w:rsidR="00FA0F9E" w:rsidRPr="00DF0246" w:rsidRDefault="00FA0F9E" w:rsidP="00FA0F9E">
      <w:pPr>
        <w:pStyle w:val="Default"/>
        <w:rPr>
          <w:rFonts w:ascii="Times New Roman" w:hAnsi="Times New Roman" w:cs="Times New Roman"/>
        </w:rPr>
      </w:pPr>
      <w:r w:rsidRPr="007E3EC0">
        <w:rPr>
          <w:rFonts w:ascii="Times New Roman" w:hAnsi="Times New Roman" w:cs="Times New Roman"/>
        </w:rPr>
        <w:t>Samfunnssikkerhet, risiko- og sårbarhetsanalyse (</w:t>
      </w:r>
      <w:r w:rsidRPr="00DF0246">
        <w:rPr>
          <w:rFonts w:ascii="Times New Roman" w:hAnsi="Times New Roman" w:cs="Times New Roman"/>
        </w:rPr>
        <w:t>ROS) er utarbeidet og finnes som vedlegg</w:t>
      </w:r>
      <w:r w:rsidR="00DF0246">
        <w:rPr>
          <w:rFonts w:ascii="Times New Roman" w:hAnsi="Times New Roman" w:cs="Times New Roman"/>
        </w:rPr>
        <w:t xml:space="preserve"> </w:t>
      </w:r>
      <w:r w:rsidRPr="00DF0246">
        <w:rPr>
          <w:rFonts w:ascii="Times New Roman" w:hAnsi="Times New Roman" w:cs="Times New Roman"/>
        </w:rPr>
        <w:t xml:space="preserve">til planbeskrivelsen. </w:t>
      </w:r>
    </w:p>
    <w:p w:rsidR="00FA0F9E" w:rsidRPr="00DF0246" w:rsidRDefault="00FA0F9E" w:rsidP="00FA0F9E">
      <w:pPr>
        <w:pStyle w:val="Default"/>
        <w:rPr>
          <w:rFonts w:ascii="Times New Roman" w:hAnsi="Times New Roman" w:cs="Times New Roman"/>
          <w:b/>
          <w:bCs/>
        </w:rPr>
      </w:pPr>
    </w:p>
    <w:p w:rsidR="00FA0F9E" w:rsidRDefault="00FA0F9E" w:rsidP="00FA0F9E">
      <w:pPr>
        <w:pStyle w:val="Default"/>
        <w:rPr>
          <w:rFonts w:ascii="Times New Roman" w:hAnsi="Times New Roman" w:cs="Times New Roman"/>
        </w:rPr>
      </w:pPr>
      <w:r w:rsidRPr="00DF0246">
        <w:rPr>
          <w:rFonts w:ascii="Times New Roman" w:hAnsi="Times New Roman" w:cs="Times New Roman"/>
        </w:rPr>
        <w:t>Fareområde for ras- og skred (faresone H310_10) i kommuneplanens arealdel, videreføres i reguleringsplanen. Faresonen omfatter et mindre område nord i arealformål BN1. Før utbygging av BN1, skal det utarbeides en fagkyndig utredning som dokumenterer tilstrekkelig sikke</w:t>
      </w:r>
      <w:r w:rsidR="00DF0246">
        <w:rPr>
          <w:rFonts w:ascii="Times New Roman" w:hAnsi="Times New Roman" w:cs="Times New Roman"/>
        </w:rPr>
        <w:t xml:space="preserve">rhet innen området (jf. </w:t>
      </w:r>
      <w:r w:rsidR="00A91557">
        <w:rPr>
          <w:rFonts w:ascii="Times New Roman" w:hAnsi="Times New Roman" w:cs="Times New Roman"/>
        </w:rPr>
        <w:t xml:space="preserve">Planbestemmelsene, </w:t>
      </w:r>
      <w:r w:rsidR="00DF0246">
        <w:rPr>
          <w:rFonts w:ascii="Times New Roman" w:hAnsi="Times New Roman" w:cs="Times New Roman"/>
        </w:rPr>
        <w:t>§ 8.2).</w:t>
      </w:r>
    </w:p>
    <w:p w:rsidR="00DF0246" w:rsidRPr="00DF0246" w:rsidRDefault="00DF0246" w:rsidP="00FA0F9E">
      <w:pPr>
        <w:pStyle w:val="Default"/>
        <w:rPr>
          <w:rFonts w:ascii="Times New Roman" w:hAnsi="Times New Roman" w:cs="Times New Roman"/>
        </w:rPr>
      </w:pPr>
    </w:p>
    <w:p w:rsidR="00FA0F9E" w:rsidRPr="00DF0246" w:rsidRDefault="00FA0F9E" w:rsidP="00FA0F9E">
      <w:pPr>
        <w:pStyle w:val="Default"/>
        <w:rPr>
          <w:rFonts w:ascii="Times New Roman" w:hAnsi="Times New Roman" w:cs="Times New Roman"/>
        </w:rPr>
      </w:pPr>
      <w:r w:rsidRPr="00DF0246">
        <w:rPr>
          <w:rFonts w:ascii="Times New Roman" w:hAnsi="Times New Roman" w:cs="Times New Roman"/>
        </w:rPr>
        <w:t xml:space="preserve">Fare høyspenningsanlegg knytter seg til høyspentlinjene innen planområdet. Disse vil ikke komme i konflikt med bruken av områder i nærings- eller uttakssammenheng, da høyspentlinjene er lokalisert i områder med LNFR og vegetasjonsskjerm. </w:t>
      </w:r>
    </w:p>
    <w:p w:rsidR="00FA0F9E" w:rsidRPr="00DF0246" w:rsidRDefault="00FA0F9E" w:rsidP="00FA0F9E">
      <w:pPr>
        <w:pStyle w:val="Default"/>
        <w:rPr>
          <w:rFonts w:ascii="Times New Roman" w:hAnsi="Times New Roman" w:cs="Times New Roman"/>
        </w:rPr>
      </w:pPr>
      <w:r w:rsidRPr="00DF0246">
        <w:rPr>
          <w:rFonts w:ascii="Times New Roman" w:hAnsi="Times New Roman" w:cs="Times New Roman"/>
        </w:rPr>
        <w:t xml:space="preserve">Ved etablering av nye nettstasjoner innen fremtidige næringsområder sikrer </w:t>
      </w:r>
      <w:r w:rsidR="00A91557">
        <w:rPr>
          <w:rFonts w:ascii="Times New Roman" w:hAnsi="Times New Roman" w:cs="Times New Roman"/>
        </w:rPr>
        <w:t>planbestemmelsenes</w:t>
      </w:r>
      <w:r w:rsidR="00A91557" w:rsidRPr="00DF0246">
        <w:rPr>
          <w:rFonts w:ascii="Times New Roman" w:hAnsi="Times New Roman" w:cs="Times New Roman"/>
        </w:rPr>
        <w:t xml:space="preserve"> </w:t>
      </w:r>
      <w:r w:rsidRPr="00DF0246">
        <w:rPr>
          <w:rFonts w:ascii="Times New Roman" w:hAnsi="Times New Roman" w:cs="Times New Roman"/>
        </w:rPr>
        <w:t xml:space="preserve">§ 2.6 dette. </w:t>
      </w:r>
    </w:p>
    <w:p w:rsidR="00FA0F9E" w:rsidRDefault="00FA0F9E" w:rsidP="00FA0F9E">
      <w:pPr>
        <w:pStyle w:val="Default"/>
        <w:rPr>
          <w:rFonts w:ascii="Times New Roman" w:hAnsi="Times New Roman" w:cs="Times New Roman"/>
        </w:rPr>
      </w:pPr>
    </w:p>
    <w:p w:rsidR="007E3EC0" w:rsidRPr="008F4F6B" w:rsidRDefault="007E3EC0" w:rsidP="00FA0F9E">
      <w:pPr>
        <w:pStyle w:val="Default"/>
        <w:rPr>
          <w:rFonts w:ascii="Times New Roman" w:hAnsi="Times New Roman" w:cs="Times New Roman"/>
          <w:b/>
          <w:i/>
        </w:rPr>
      </w:pPr>
      <w:r w:rsidRPr="008F4F6B">
        <w:rPr>
          <w:rFonts w:ascii="Times New Roman" w:hAnsi="Times New Roman" w:cs="Times New Roman"/>
          <w:b/>
          <w:i/>
        </w:rPr>
        <w:t>Kulturminner</w:t>
      </w:r>
    </w:p>
    <w:p w:rsidR="007E3EC0" w:rsidRPr="00DF0246" w:rsidRDefault="007E3EC0" w:rsidP="00FA0F9E">
      <w:pPr>
        <w:pStyle w:val="Default"/>
        <w:rPr>
          <w:rFonts w:ascii="Times New Roman" w:hAnsi="Times New Roman" w:cs="Times New Roman"/>
        </w:rPr>
      </w:pPr>
    </w:p>
    <w:p w:rsidR="00FA0F9E" w:rsidRPr="00DF0246" w:rsidRDefault="00FA0F9E" w:rsidP="00FA0F9E">
      <w:pPr>
        <w:pStyle w:val="Default"/>
        <w:rPr>
          <w:rFonts w:ascii="Times New Roman" w:hAnsi="Times New Roman" w:cs="Times New Roman"/>
        </w:rPr>
      </w:pPr>
      <w:r w:rsidRPr="00DF0246">
        <w:rPr>
          <w:rFonts w:ascii="Times New Roman" w:hAnsi="Times New Roman" w:cs="Times New Roman"/>
        </w:rPr>
        <w:t xml:space="preserve">Sametingets er ikke kjent med at det foreligger konflikt i forhold til samiske kulturminner i planområdet. Troms fylkeskommune uttaler at det ikke er påvist </w:t>
      </w:r>
      <w:r w:rsidRPr="007E3EC0">
        <w:rPr>
          <w:rFonts w:ascii="Times New Roman" w:hAnsi="Times New Roman" w:cs="Times New Roman"/>
          <w:i/>
        </w:rPr>
        <w:t>automatisk freda kulturminner</w:t>
      </w:r>
      <w:r w:rsidRPr="00DF0246">
        <w:rPr>
          <w:rFonts w:ascii="Times New Roman" w:hAnsi="Times New Roman" w:cs="Times New Roman"/>
        </w:rPr>
        <w:t xml:space="preserve">, og det er lite sannsynlig at hittil ukjente kulturminner vil bli berørt innenfor planområdet. </w:t>
      </w:r>
    </w:p>
    <w:p w:rsidR="00FA0F9E" w:rsidRPr="00DF0246" w:rsidRDefault="00FA0F9E" w:rsidP="00FA0F9E">
      <w:pPr>
        <w:pStyle w:val="Default"/>
        <w:rPr>
          <w:rFonts w:ascii="Times New Roman" w:hAnsi="Times New Roman" w:cs="Times New Roman"/>
        </w:rPr>
      </w:pPr>
      <w:r w:rsidRPr="00DF0246">
        <w:rPr>
          <w:rFonts w:ascii="Times New Roman" w:hAnsi="Times New Roman" w:cs="Times New Roman"/>
        </w:rPr>
        <w:t xml:space="preserve">Det er ingen spesielle kulturmiljøer innen planområdet. </w:t>
      </w:r>
    </w:p>
    <w:p w:rsidR="00DF0246" w:rsidRPr="00DF0246" w:rsidRDefault="00DF0246" w:rsidP="00FA0F9E">
      <w:pPr>
        <w:pStyle w:val="Default"/>
        <w:rPr>
          <w:rFonts w:ascii="Times New Roman" w:hAnsi="Times New Roman" w:cs="Times New Roman"/>
          <w:b/>
          <w:bCs/>
        </w:rPr>
      </w:pPr>
    </w:p>
    <w:p w:rsidR="00FA0F9E" w:rsidRPr="00DF0246" w:rsidRDefault="00FA0F9E" w:rsidP="00FA0F9E">
      <w:pPr>
        <w:pStyle w:val="Default"/>
        <w:rPr>
          <w:rFonts w:ascii="Times New Roman" w:hAnsi="Times New Roman" w:cs="Times New Roman"/>
        </w:rPr>
      </w:pPr>
      <w:r w:rsidRPr="008F4F6B">
        <w:rPr>
          <w:rFonts w:ascii="Times New Roman" w:hAnsi="Times New Roman" w:cs="Times New Roman"/>
          <w:b/>
          <w:bCs/>
          <w:i/>
        </w:rPr>
        <w:t>Avbøtende tiltak</w:t>
      </w:r>
      <w:r w:rsidRPr="008F4F6B">
        <w:rPr>
          <w:rFonts w:ascii="Times New Roman" w:hAnsi="Times New Roman" w:cs="Times New Roman"/>
          <w:b/>
          <w:i/>
        </w:rPr>
        <w:t>:</w:t>
      </w:r>
      <w:r w:rsidRPr="007E3EC0">
        <w:rPr>
          <w:rFonts w:ascii="Times New Roman" w:hAnsi="Times New Roman" w:cs="Times New Roman"/>
          <w:i/>
        </w:rPr>
        <w:t xml:space="preserve"> </w:t>
      </w:r>
      <w:r w:rsidRPr="00DF0246">
        <w:rPr>
          <w:rFonts w:ascii="Times New Roman" w:hAnsi="Times New Roman" w:cs="Times New Roman"/>
        </w:rPr>
        <w:t xml:space="preserve">Ved eventuelle funn av mulige kulturminner innen planområdet, skal </w:t>
      </w:r>
      <w:r w:rsidR="00A91557">
        <w:rPr>
          <w:rFonts w:ascii="Times New Roman" w:hAnsi="Times New Roman" w:cs="Times New Roman"/>
        </w:rPr>
        <w:t>planbestemmelsene</w:t>
      </w:r>
      <w:r w:rsidR="00A91557" w:rsidRPr="00DF0246">
        <w:rPr>
          <w:rFonts w:ascii="Times New Roman" w:hAnsi="Times New Roman" w:cs="Times New Roman"/>
        </w:rPr>
        <w:t xml:space="preserve"> </w:t>
      </w:r>
      <w:r w:rsidRPr="00DF0246">
        <w:rPr>
          <w:rFonts w:ascii="Times New Roman" w:hAnsi="Times New Roman" w:cs="Times New Roman"/>
        </w:rPr>
        <w:t xml:space="preserve">§ 2.1 sikre at disse blir forsvarlig undersøkt av rette fagorgan. </w:t>
      </w:r>
    </w:p>
    <w:p w:rsidR="00DF0246" w:rsidRPr="00DF0246" w:rsidRDefault="00DF0246" w:rsidP="00FA0F9E">
      <w:pPr>
        <w:pStyle w:val="Default"/>
        <w:rPr>
          <w:rFonts w:ascii="Times New Roman" w:hAnsi="Times New Roman" w:cs="Times New Roman"/>
          <w:b/>
          <w:bCs/>
        </w:rPr>
      </w:pPr>
    </w:p>
    <w:p w:rsidR="007E3EC0" w:rsidRPr="008F4F6B" w:rsidRDefault="007E3EC0" w:rsidP="00FA0F9E">
      <w:pPr>
        <w:pStyle w:val="Default"/>
        <w:rPr>
          <w:rFonts w:ascii="Times New Roman" w:hAnsi="Times New Roman" w:cs="Times New Roman"/>
          <w:b/>
          <w:i/>
        </w:rPr>
      </w:pPr>
      <w:r w:rsidRPr="008F4F6B">
        <w:rPr>
          <w:rFonts w:ascii="Times New Roman" w:hAnsi="Times New Roman" w:cs="Times New Roman"/>
          <w:b/>
          <w:i/>
        </w:rPr>
        <w:t>Barn og unge</w:t>
      </w:r>
    </w:p>
    <w:p w:rsidR="007E3EC0" w:rsidRDefault="007E3EC0" w:rsidP="00FA0F9E">
      <w:pPr>
        <w:pStyle w:val="Default"/>
        <w:rPr>
          <w:rFonts w:ascii="Times New Roman" w:hAnsi="Times New Roman" w:cs="Times New Roman"/>
        </w:rPr>
      </w:pPr>
    </w:p>
    <w:p w:rsidR="00FA0F9E" w:rsidRPr="00DF0246" w:rsidRDefault="00FA0F9E" w:rsidP="00FA0F9E">
      <w:pPr>
        <w:pStyle w:val="Default"/>
        <w:rPr>
          <w:rFonts w:ascii="Times New Roman" w:hAnsi="Times New Roman" w:cs="Times New Roman"/>
        </w:rPr>
      </w:pPr>
      <w:r w:rsidRPr="00DF0246">
        <w:rPr>
          <w:rFonts w:ascii="Times New Roman" w:hAnsi="Times New Roman" w:cs="Times New Roman"/>
        </w:rPr>
        <w:t>Reguleringsplanforslaget vil omfatte arealformål og arealbruk som i liten grad vil kreve tiltak knyttet til barn og unge. Unntaket er bruken av land- og sjøområder i friluftsammenheng, herunder turmuligheter i Tyt</w:t>
      </w:r>
      <w:r w:rsidR="00DF0246">
        <w:rPr>
          <w:rFonts w:ascii="Times New Roman" w:hAnsi="Times New Roman" w:cs="Times New Roman"/>
        </w:rPr>
        <w:t>t</w:t>
      </w:r>
      <w:r w:rsidRPr="00DF0246">
        <w:rPr>
          <w:rFonts w:ascii="Times New Roman" w:hAnsi="Times New Roman" w:cs="Times New Roman"/>
        </w:rPr>
        <w:t>ebærdalen o</w:t>
      </w:r>
      <w:r w:rsidR="007A12CE">
        <w:rPr>
          <w:rFonts w:ascii="Times New Roman" w:hAnsi="Times New Roman" w:cs="Times New Roman"/>
        </w:rPr>
        <w:t>g fjellheimen.</w:t>
      </w:r>
      <w:r w:rsidRPr="00DF0246">
        <w:rPr>
          <w:rFonts w:ascii="Times New Roman" w:hAnsi="Times New Roman" w:cs="Times New Roman"/>
        </w:rPr>
        <w:t xml:space="preserve"> </w:t>
      </w:r>
    </w:p>
    <w:p w:rsidR="00DF0246" w:rsidRDefault="00DF0246" w:rsidP="00FA0F9E">
      <w:pPr>
        <w:pStyle w:val="Default"/>
        <w:rPr>
          <w:rFonts w:ascii="Times New Roman" w:hAnsi="Times New Roman" w:cs="Times New Roman"/>
          <w:b/>
          <w:bCs/>
        </w:rPr>
      </w:pPr>
    </w:p>
    <w:p w:rsidR="00FA0F9E" w:rsidRPr="00DF0246" w:rsidRDefault="00FA0F9E" w:rsidP="00FA0F9E">
      <w:pPr>
        <w:pStyle w:val="Default"/>
        <w:rPr>
          <w:rFonts w:ascii="Times New Roman" w:hAnsi="Times New Roman" w:cs="Times New Roman"/>
        </w:rPr>
      </w:pPr>
      <w:r w:rsidRPr="008F4F6B">
        <w:rPr>
          <w:rFonts w:ascii="Times New Roman" w:hAnsi="Times New Roman" w:cs="Times New Roman"/>
          <w:b/>
          <w:bCs/>
          <w:i/>
        </w:rPr>
        <w:t>Avbøtende tiltak</w:t>
      </w:r>
      <w:r w:rsidRPr="008F4F6B">
        <w:rPr>
          <w:rFonts w:ascii="Times New Roman" w:hAnsi="Times New Roman" w:cs="Times New Roman"/>
          <w:b/>
          <w:i/>
        </w:rPr>
        <w:t>:</w:t>
      </w:r>
      <w:r w:rsidRPr="007E3EC0">
        <w:rPr>
          <w:rFonts w:ascii="Times New Roman" w:hAnsi="Times New Roman" w:cs="Times New Roman"/>
          <w:i/>
        </w:rPr>
        <w:t xml:space="preserve"> </w:t>
      </w:r>
      <w:r w:rsidRPr="00DF0246">
        <w:rPr>
          <w:rFonts w:ascii="Times New Roman" w:hAnsi="Times New Roman" w:cs="Times New Roman"/>
        </w:rPr>
        <w:t xml:space="preserve">Reguleringsplanforslaget sikrer og viderefører folkehelseperspektivet knyttet til barn og unge. </w:t>
      </w:r>
    </w:p>
    <w:p w:rsidR="00DF0246" w:rsidRPr="00DF0246" w:rsidRDefault="00DF0246" w:rsidP="00FA0F9E">
      <w:pPr>
        <w:pStyle w:val="Default"/>
        <w:rPr>
          <w:rFonts w:ascii="Times New Roman" w:hAnsi="Times New Roman" w:cs="Times New Roman"/>
          <w:b/>
          <w:bCs/>
        </w:rPr>
      </w:pPr>
    </w:p>
    <w:p w:rsidR="007E3EC0" w:rsidRPr="008F4F6B" w:rsidRDefault="007E3EC0" w:rsidP="00FA0F9E">
      <w:pPr>
        <w:pStyle w:val="Default"/>
        <w:rPr>
          <w:rFonts w:ascii="Times New Roman" w:hAnsi="Times New Roman" w:cs="Times New Roman"/>
          <w:b/>
          <w:i/>
        </w:rPr>
      </w:pPr>
      <w:r w:rsidRPr="008F4F6B">
        <w:rPr>
          <w:rFonts w:ascii="Times New Roman" w:hAnsi="Times New Roman" w:cs="Times New Roman"/>
          <w:b/>
          <w:i/>
        </w:rPr>
        <w:t>Landskap</w:t>
      </w:r>
    </w:p>
    <w:p w:rsidR="007E3EC0" w:rsidRDefault="007E3EC0" w:rsidP="00FA0F9E">
      <w:pPr>
        <w:pStyle w:val="Default"/>
        <w:rPr>
          <w:rFonts w:ascii="Times New Roman" w:hAnsi="Times New Roman" w:cs="Times New Roman"/>
        </w:rPr>
      </w:pPr>
    </w:p>
    <w:p w:rsidR="00DF0246" w:rsidRDefault="00FA0F9E" w:rsidP="00FA0F9E">
      <w:pPr>
        <w:pStyle w:val="Default"/>
        <w:rPr>
          <w:rFonts w:ascii="Times New Roman" w:hAnsi="Times New Roman" w:cs="Times New Roman"/>
        </w:rPr>
      </w:pPr>
      <w:r w:rsidRPr="00DF0246">
        <w:rPr>
          <w:rFonts w:ascii="Times New Roman" w:hAnsi="Times New Roman" w:cs="Times New Roman"/>
        </w:rPr>
        <w:t>Landskap er konsekvensutredet</w:t>
      </w:r>
      <w:r w:rsidR="00DF0246">
        <w:rPr>
          <w:rFonts w:ascii="Times New Roman" w:hAnsi="Times New Roman" w:cs="Times New Roman"/>
        </w:rPr>
        <w:t>, (</w:t>
      </w:r>
      <w:r w:rsidRPr="00DF0246">
        <w:rPr>
          <w:rFonts w:ascii="Times New Roman" w:hAnsi="Times New Roman" w:cs="Times New Roman"/>
        </w:rPr>
        <w:t>jf</w:t>
      </w:r>
      <w:r w:rsidR="00DF0246">
        <w:rPr>
          <w:rFonts w:ascii="Times New Roman" w:hAnsi="Times New Roman" w:cs="Times New Roman"/>
        </w:rPr>
        <w:t>r</w:t>
      </w:r>
      <w:r w:rsidRPr="00DF0246">
        <w:rPr>
          <w:rFonts w:ascii="Times New Roman" w:hAnsi="Times New Roman" w:cs="Times New Roman"/>
        </w:rPr>
        <w:t>. vedlegg KU-Landskap)</w:t>
      </w:r>
      <w:r w:rsidR="00B03AB0">
        <w:rPr>
          <w:rFonts w:ascii="Times New Roman" w:hAnsi="Times New Roman" w:cs="Times New Roman"/>
        </w:rPr>
        <w:t xml:space="preserve">, og det </w:t>
      </w:r>
      <w:r w:rsidRPr="00DF0246">
        <w:rPr>
          <w:rFonts w:ascii="Times New Roman" w:hAnsi="Times New Roman" w:cs="Times New Roman"/>
        </w:rPr>
        <w:t>konkludere</w:t>
      </w:r>
      <w:r w:rsidR="00B03AB0">
        <w:rPr>
          <w:rFonts w:ascii="Times New Roman" w:hAnsi="Times New Roman" w:cs="Times New Roman"/>
        </w:rPr>
        <w:t>s</w:t>
      </w:r>
      <w:r w:rsidRPr="00DF0246">
        <w:rPr>
          <w:rFonts w:ascii="Times New Roman" w:hAnsi="Times New Roman" w:cs="Times New Roman"/>
        </w:rPr>
        <w:t xml:space="preserve"> </w:t>
      </w:r>
      <w:r w:rsidR="00DF0246">
        <w:rPr>
          <w:rFonts w:ascii="Times New Roman" w:hAnsi="Times New Roman" w:cs="Times New Roman"/>
        </w:rPr>
        <w:t xml:space="preserve">her </w:t>
      </w:r>
      <w:r w:rsidRPr="00DF0246">
        <w:rPr>
          <w:rFonts w:ascii="Times New Roman" w:hAnsi="Times New Roman" w:cs="Times New Roman"/>
        </w:rPr>
        <w:t xml:space="preserve">med at fremtidig uttaksområde vil være synlig og dominerende i landskapsbildet gjennom hele </w:t>
      </w:r>
      <w:r w:rsidRPr="00DF0246">
        <w:rPr>
          <w:rFonts w:ascii="Times New Roman" w:hAnsi="Times New Roman" w:cs="Times New Roman"/>
        </w:rPr>
        <w:lastRenderedPageBreak/>
        <w:t xml:space="preserve">uttaksperioden. Uttaket vil være mest synlig i fjernvirkning – fra sjøen (Kjosen) og fra fastlandssiden på sørsiden av fjorden (fra </w:t>
      </w:r>
      <w:r w:rsidR="00834B42">
        <w:rPr>
          <w:rFonts w:ascii="Times New Roman" w:hAnsi="Times New Roman" w:cs="Times New Roman"/>
        </w:rPr>
        <w:t>Fv.</w:t>
      </w:r>
      <w:r w:rsidR="00DF0246">
        <w:rPr>
          <w:rFonts w:ascii="Times New Roman" w:hAnsi="Times New Roman" w:cs="Times New Roman"/>
        </w:rPr>
        <w:t xml:space="preserve"> </w:t>
      </w:r>
      <w:r w:rsidRPr="00DF0246">
        <w:rPr>
          <w:rFonts w:ascii="Times New Roman" w:hAnsi="Times New Roman" w:cs="Times New Roman"/>
        </w:rPr>
        <w:t xml:space="preserve">293 og bebyggelsen fra Hjellnesodden til Fornes). </w:t>
      </w:r>
    </w:p>
    <w:p w:rsidR="00DF0246" w:rsidRPr="00DF0246" w:rsidRDefault="00DF0246" w:rsidP="00FA0F9E">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DF0246">
        <w:rPr>
          <w:rFonts w:ascii="Times New Roman" w:hAnsi="Times New Roman" w:cs="Times New Roman"/>
        </w:rPr>
        <w:t xml:space="preserve">I nærvirkning vil uttaksområdet være synlig fra </w:t>
      </w:r>
      <w:r w:rsidR="00834B42">
        <w:rPr>
          <w:rFonts w:ascii="Times New Roman" w:hAnsi="Times New Roman" w:cs="Times New Roman"/>
        </w:rPr>
        <w:t>Fv.</w:t>
      </w:r>
      <w:r w:rsidR="00B03AB0">
        <w:rPr>
          <w:rFonts w:ascii="Times New Roman" w:hAnsi="Times New Roman" w:cs="Times New Roman"/>
        </w:rPr>
        <w:t xml:space="preserve"> </w:t>
      </w:r>
      <w:r w:rsidRPr="00DF0246">
        <w:rPr>
          <w:rFonts w:ascii="Times New Roman" w:hAnsi="Times New Roman" w:cs="Times New Roman"/>
        </w:rPr>
        <w:t xml:space="preserve">91, på strekningen forbi uttaksområdet. </w:t>
      </w:r>
    </w:p>
    <w:p w:rsidR="00617F9F" w:rsidRDefault="00617F9F" w:rsidP="00DF0246">
      <w:pPr>
        <w:pStyle w:val="Default"/>
        <w:rPr>
          <w:rFonts w:ascii="Times New Roman" w:hAnsi="Times New Roman" w:cs="Times New Roman"/>
          <w:b/>
          <w:bCs/>
        </w:rPr>
      </w:pPr>
    </w:p>
    <w:p w:rsidR="00FA0F9E" w:rsidRPr="00DF0246" w:rsidRDefault="00DF0246" w:rsidP="00DF0246">
      <w:pPr>
        <w:pStyle w:val="Default"/>
        <w:rPr>
          <w:rFonts w:ascii="Times New Roman" w:hAnsi="Times New Roman" w:cs="Times New Roman"/>
        </w:rPr>
      </w:pPr>
      <w:r w:rsidRPr="008F4F6B">
        <w:rPr>
          <w:rFonts w:ascii="Times New Roman" w:hAnsi="Times New Roman" w:cs="Times New Roman"/>
          <w:b/>
          <w:bCs/>
          <w:i/>
        </w:rPr>
        <w:t>Avbøtende tiltak</w:t>
      </w:r>
      <w:r w:rsidRPr="008F4F6B">
        <w:rPr>
          <w:rFonts w:ascii="Times New Roman" w:hAnsi="Times New Roman" w:cs="Times New Roman"/>
          <w:b/>
          <w:i/>
        </w:rPr>
        <w:t>:</w:t>
      </w:r>
      <w:r w:rsidRPr="007E3EC0">
        <w:rPr>
          <w:rFonts w:ascii="Times New Roman" w:hAnsi="Times New Roman" w:cs="Times New Roman"/>
          <w:i/>
        </w:rPr>
        <w:t xml:space="preserve"> </w:t>
      </w:r>
      <w:r w:rsidRPr="00DF0246">
        <w:rPr>
          <w:rFonts w:ascii="Times New Roman" w:hAnsi="Times New Roman" w:cs="Times New Roman"/>
        </w:rPr>
        <w:t xml:space="preserve">Nærvirkningen av uttaksområdet vil minskes etter hvert som uttaksområdet utvides og flytter seg mot øst. Dette gjør at produksjons- og lagerområdet flyttes bort fra </w:t>
      </w:r>
      <w:r w:rsidR="00834B42">
        <w:rPr>
          <w:rFonts w:ascii="Times New Roman" w:hAnsi="Times New Roman" w:cs="Times New Roman"/>
        </w:rPr>
        <w:t>Fv.</w:t>
      </w:r>
      <w:r w:rsidR="00617F9F">
        <w:rPr>
          <w:rFonts w:ascii="Times New Roman" w:hAnsi="Times New Roman" w:cs="Times New Roman"/>
        </w:rPr>
        <w:t xml:space="preserve"> </w:t>
      </w:r>
      <w:r w:rsidRPr="00DF0246">
        <w:rPr>
          <w:rFonts w:ascii="Times New Roman" w:hAnsi="Times New Roman" w:cs="Times New Roman"/>
        </w:rPr>
        <w:t>91, og det etableres vegetasjon i de regulerte skjermingssonene mellom veien og uttaksområdet.</w:t>
      </w:r>
    </w:p>
    <w:p w:rsidR="00DF0246" w:rsidRPr="00DF0246" w:rsidRDefault="00DF0246" w:rsidP="00DF0246">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DF0246">
        <w:rPr>
          <w:rFonts w:ascii="Times New Roman" w:hAnsi="Times New Roman" w:cs="Times New Roman"/>
        </w:rPr>
        <w:t xml:space="preserve">Fjernvirkning av uttaksområdet vil minskes når de høyeste områdene er tatt ned, og pallene blir revegetert. Ferdig uttatt og istandsatt vil pallene være vegetasjonsetablert og inngå i de </w:t>
      </w:r>
      <w:r w:rsidR="00617F9F">
        <w:rPr>
          <w:rFonts w:ascii="Times New Roman" w:hAnsi="Times New Roman" w:cs="Times New Roman"/>
        </w:rPr>
        <w:t>t</w:t>
      </w:r>
      <w:r w:rsidRPr="00DF0246">
        <w:rPr>
          <w:rFonts w:ascii="Times New Roman" w:hAnsi="Times New Roman" w:cs="Times New Roman"/>
        </w:rPr>
        <w:t>ilgrensende vegetasjonskledte områdene mot vest, nord og øst. I bunnen av uttaksområdet vil det etableres næringsvirksomhet som er skjermet i forhold til fjernvirkningen.</w:t>
      </w:r>
    </w:p>
    <w:p w:rsidR="00DF0246" w:rsidRDefault="00DF0246" w:rsidP="00DF0246">
      <w:pPr>
        <w:pStyle w:val="Default"/>
        <w:rPr>
          <w:rFonts w:ascii="Times New Roman" w:hAnsi="Times New Roman" w:cs="Times New Roman"/>
        </w:rPr>
      </w:pPr>
    </w:p>
    <w:p w:rsidR="00724666" w:rsidRDefault="00724666" w:rsidP="00DF0246">
      <w:pPr>
        <w:pStyle w:val="Default"/>
        <w:rPr>
          <w:rFonts w:ascii="Times New Roman" w:hAnsi="Times New Roman" w:cs="Times New Roman"/>
        </w:rPr>
      </w:pPr>
    </w:p>
    <w:p w:rsidR="00724666" w:rsidRDefault="00724666" w:rsidP="00DF0246">
      <w:pPr>
        <w:pStyle w:val="Default"/>
        <w:rPr>
          <w:rFonts w:ascii="Times New Roman" w:hAnsi="Times New Roman" w:cs="Times New Roman"/>
        </w:rPr>
      </w:pPr>
    </w:p>
    <w:p w:rsidR="00724666" w:rsidRPr="00DF0246" w:rsidRDefault="00724666" w:rsidP="00DF0246">
      <w:pPr>
        <w:pStyle w:val="Default"/>
        <w:rPr>
          <w:rFonts w:ascii="Times New Roman" w:hAnsi="Times New Roman" w:cs="Times New Roman"/>
        </w:rPr>
      </w:pPr>
    </w:p>
    <w:p w:rsidR="00DF0246" w:rsidRPr="008F4F6B" w:rsidRDefault="00DF0246" w:rsidP="00DF0246">
      <w:pPr>
        <w:pStyle w:val="Default"/>
        <w:rPr>
          <w:rFonts w:ascii="Times New Roman" w:hAnsi="Times New Roman" w:cs="Times New Roman"/>
          <w:b/>
          <w:i/>
        </w:rPr>
      </w:pPr>
      <w:r w:rsidRPr="008F4F6B">
        <w:rPr>
          <w:rFonts w:ascii="Times New Roman" w:hAnsi="Times New Roman" w:cs="Times New Roman"/>
          <w:b/>
          <w:bCs/>
          <w:i/>
        </w:rPr>
        <w:t xml:space="preserve">Naturmangfold </w:t>
      </w:r>
    </w:p>
    <w:p w:rsidR="00617F9F" w:rsidRDefault="00617F9F" w:rsidP="00DF0246">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DF0246">
        <w:rPr>
          <w:rFonts w:ascii="Times New Roman" w:hAnsi="Times New Roman" w:cs="Times New Roman"/>
        </w:rPr>
        <w:t xml:space="preserve">Naturmangfold er konsekvensutredet (jf. vedlegg KU-Naturmangfold). </w:t>
      </w:r>
      <w:r w:rsidR="00617F9F">
        <w:rPr>
          <w:rFonts w:ascii="Times New Roman" w:hAnsi="Times New Roman" w:cs="Times New Roman"/>
        </w:rPr>
        <w:t xml:space="preserve">I </w:t>
      </w:r>
      <w:r w:rsidRPr="00DF0246">
        <w:rPr>
          <w:rFonts w:ascii="Times New Roman" w:hAnsi="Times New Roman" w:cs="Times New Roman"/>
        </w:rPr>
        <w:t>KU</w:t>
      </w:r>
      <w:r w:rsidR="00617F9F">
        <w:rPr>
          <w:rFonts w:ascii="Times New Roman" w:hAnsi="Times New Roman" w:cs="Times New Roman"/>
        </w:rPr>
        <w:t>en</w:t>
      </w:r>
      <w:r w:rsidRPr="00DF0246">
        <w:rPr>
          <w:rFonts w:ascii="Times New Roman" w:hAnsi="Times New Roman" w:cs="Times New Roman"/>
        </w:rPr>
        <w:t xml:space="preserve"> konkludere</w:t>
      </w:r>
      <w:r w:rsidR="00617F9F">
        <w:rPr>
          <w:rFonts w:ascii="Times New Roman" w:hAnsi="Times New Roman" w:cs="Times New Roman"/>
        </w:rPr>
        <w:t>s det</w:t>
      </w:r>
      <w:r w:rsidRPr="00DF0246">
        <w:rPr>
          <w:rFonts w:ascii="Times New Roman" w:hAnsi="Times New Roman" w:cs="Times New Roman"/>
        </w:rPr>
        <w:t xml:space="preserve"> med at den samlede belastningen ikke er spesielt høy for naturmangfoldet i området. </w:t>
      </w:r>
    </w:p>
    <w:p w:rsidR="00617F9F" w:rsidRDefault="00617F9F" w:rsidP="00DF0246">
      <w:pPr>
        <w:pStyle w:val="Default"/>
        <w:rPr>
          <w:rFonts w:ascii="Times New Roman" w:hAnsi="Times New Roman" w:cs="Times New Roman"/>
          <w:b/>
          <w:bCs/>
        </w:rPr>
      </w:pPr>
    </w:p>
    <w:p w:rsidR="00DF0246" w:rsidRPr="00DF0246" w:rsidRDefault="00DF0246" w:rsidP="00DF0246">
      <w:pPr>
        <w:pStyle w:val="Default"/>
        <w:rPr>
          <w:rFonts w:ascii="Times New Roman" w:hAnsi="Times New Roman" w:cs="Times New Roman"/>
        </w:rPr>
      </w:pPr>
      <w:r w:rsidRPr="008F4F6B">
        <w:rPr>
          <w:rFonts w:ascii="Times New Roman" w:hAnsi="Times New Roman" w:cs="Times New Roman"/>
          <w:b/>
          <w:bCs/>
          <w:i/>
        </w:rPr>
        <w:t>Avbøtende tiltak</w:t>
      </w:r>
      <w:r w:rsidRPr="008F4F6B">
        <w:rPr>
          <w:rFonts w:ascii="Times New Roman" w:hAnsi="Times New Roman" w:cs="Times New Roman"/>
          <w:b/>
          <w:i/>
        </w:rPr>
        <w:t>:</w:t>
      </w:r>
      <w:r w:rsidRPr="007E3EC0">
        <w:rPr>
          <w:rFonts w:ascii="Times New Roman" w:hAnsi="Times New Roman" w:cs="Times New Roman"/>
          <w:i/>
        </w:rPr>
        <w:t xml:space="preserve"> </w:t>
      </w:r>
      <w:r w:rsidRPr="00DF0246">
        <w:rPr>
          <w:rFonts w:ascii="Times New Roman" w:hAnsi="Times New Roman" w:cs="Times New Roman"/>
        </w:rPr>
        <w:t>KU har forslag til at utskipingsområdet ikke bør utvides slik at naturbeitemarka, mellom riksveien og fjorden, sør i Ty</w:t>
      </w:r>
      <w:r w:rsidR="00617F9F">
        <w:rPr>
          <w:rFonts w:ascii="Times New Roman" w:hAnsi="Times New Roman" w:cs="Times New Roman"/>
        </w:rPr>
        <w:t>t</w:t>
      </w:r>
      <w:r w:rsidRPr="00DF0246">
        <w:rPr>
          <w:rFonts w:ascii="Times New Roman" w:hAnsi="Times New Roman" w:cs="Times New Roman"/>
        </w:rPr>
        <w:t xml:space="preserve">tebærvika ikke blir berørt, da denne lokaliteten er av lokal verdi. Planforslaget legger opp til at naturbeitemarka ikke berøres av fremtidig utvidelse av SHA1 og SK1. Øvrig del av hensynssone bevaring av naturmiljø (H560_3), fra kommuneplanens arealdel, videreføres i reguleringsplanforslaget. </w:t>
      </w:r>
    </w:p>
    <w:p w:rsidR="00617F9F" w:rsidRDefault="00617F9F" w:rsidP="00DF0246">
      <w:pPr>
        <w:pStyle w:val="Default"/>
        <w:rPr>
          <w:rFonts w:ascii="Times New Roman" w:hAnsi="Times New Roman" w:cs="Times New Roman"/>
          <w:b/>
          <w:bCs/>
        </w:rPr>
      </w:pPr>
    </w:p>
    <w:p w:rsidR="00DF0246" w:rsidRPr="008F4F6B" w:rsidRDefault="00DF0246" w:rsidP="00DF0246">
      <w:pPr>
        <w:pStyle w:val="Default"/>
        <w:rPr>
          <w:rFonts w:ascii="Times New Roman" w:hAnsi="Times New Roman" w:cs="Times New Roman"/>
          <w:b/>
          <w:i/>
        </w:rPr>
      </w:pPr>
      <w:r w:rsidRPr="008F4F6B">
        <w:rPr>
          <w:rFonts w:ascii="Times New Roman" w:hAnsi="Times New Roman" w:cs="Times New Roman"/>
          <w:b/>
          <w:bCs/>
          <w:i/>
        </w:rPr>
        <w:t xml:space="preserve">Reindrift og landbruk </w:t>
      </w:r>
    </w:p>
    <w:p w:rsidR="00DF0246" w:rsidRPr="00DF0246" w:rsidRDefault="00DF0246" w:rsidP="00DF0246">
      <w:pPr>
        <w:pStyle w:val="Default"/>
        <w:rPr>
          <w:rFonts w:ascii="Times New Roman" w:hAnsi="Times New Roman" w:cs="Times New Roman"/>
        </w:rPr>
      </w:pPr>
    </w:p>
    <w:p w:rsidR="00DF0246" w:rsidRDefault="00617F9F" w:rsidP="00DF0246">
      <w:pPr>
        <w:pStyle w:val="Default"/>
        <w:rPr>
          <w:rFonts w:ascii="Times New Roman" w:hAnsi="Times New Roman" w:cs="Times New Roman"/>
        </w:rPr>
      </w:pPr>
      <w:r>
        <w:rPr>
          <w:rFonts w:ascii="Times New Roman" w:hAnsi="Times New Roman" w:cs="Times New Roman"/>
        </w:rPr>
        <w:t xml:space="preserve">I </w:t>
      </w:r>
      <w:r w:rsidR="00DF0246" w:rsidRPr="00DF0246">
        <w:rPr>
          <w:rFonts w:ascii="Times New Roman" w:hAnsi="Times New Roman" w:cs="Times New Roman"/>
        </w:rPr>
        <w:t>K</w:t>
      </w:r>
      <w:r>
        <w:rPr>
          <w:rFonts w:ascii="Times New Roman" w:hAnsi="Times New Roman" w:cs="Times New Roman"/>
        </w:rPr>
        <w:t>Uen for reindrift og landbrukstemaet</w:t>
      </w:r>
      <w:r w:rsidR="00DF0246" w:rsidRPr="00DF0246">
        <w:rPr>
          <w:rFonts w:ascii="Times New Roman" w:hAnsi="Times New Roman" w:cs="Times New Roman"/>
        </w:rPr>
        <w:t xml:space="preserve"> konkludere</w:t>
      </w:r>
      <w:r>
        <w:rPr>
          <w:rFonts w:ascii="Times New Roman" w:hAnsi="Times New Roman" w:cs="Times New Roman"/>
        </w:rPr>
        <w:t>s det</w:t>
      </w:r>
      <w:r w:rsidR="00DF0246" w:rsidRPr="00DF0246">
        <w:rPr>
          <w:rFonts w:ascii="Times New Roman" w:hAnsi="Times New Roman" w:cs="Times New Roman"/>
        </w:rPr>
        <w:t xml:space="preserve"> med at hovedsakelig alle inngrep og tiltak i flyttlei </w:t>
      </w:r>
      <w:r w:rsidR="00834B42">
        <w:rPr>
          <w:rFonts w:ascii="Times New Roman" w:hAnsi="Times New Roman" w:cs="Times New Roman"/>
        </w:rPr>
        <w:t xml:space="preserve">er </w:t>
      </w:r>
      <w:r w:rsidR="00DF0246" w:rsidRPr="00DF0246">
        <w:rPr>
          <w:rFonts w:ascii="Times New Roman" w:hAnsi="Times New Roman" w:cs="Times New Roman"/>
        </w:rPr>
        <w:t>negativt for reindrifta. Ca. 55 da av hensynssone reindrift (H520_16) fra kommuneplanens arealdel vil bortfalle, i forbindelse med utvidelsen av BSM1. Nord i planområdet finnes et område som tidligere er benyttet for uttak av grus (</w:t>
      </w:r>
      <w:r w:rsidR="00834B42">
        <w:rPr>
          <w:rFonts w:ascii="Times New Roman" w:hAnsi="Times New Roman" w:cs="Times New Roman"/>
        </w:rPr>
        <w:t xml:space="preserve">område nr. </w:t>
      </w:r>
      <w:r w:rsidR="00DF0246" w:rsidRPr="00DF0246">
        <w:rPr>
          <w:rFonts w:ascii="Times New Roman" w:hAnsi="Times New Roman" w:cs="Times New Roman"/>
        </w:rPr>
        <w:t>1). Dette området er ikke arrondert, istandsatt og tilbakeført til LNFR. Slik området fremstår i dag er dette problematisk i forhold ti</w:t>
      </w:r>
      <w:r>
        <w:rPr>
          <w:rFonts w:ascii="Times New Roman" w:hAnsi="Times New Roman" w:cs="Times New Roman"/>
        </w:rPr>
        <w:t>l bruken av flyttleia for rein.</w:t>
      </w:r>
    </w:p>
    <w:p w:rsidR="00617F9F" w:rsidRPr="00DF0246" w:rsidRDefault="00617F9F" w:rsidP="00DF0246">
      <w:pPr>
        <w:pStyle w:val="Default"/>
        <w:rPr>
          <w:rFonts w:ascii="Times New Roman" w:hAnsi="Times New Roman" w:cs="Times New Roman"/>
        </w:rPr>
      </w:pPr>
    </w:p>
    <w:p w:rsidR="00DF0246" w:rsidRDefault="00DF0246" w:rsidP="00DF0246">
      <w:pPr>
        <w:pStyle w:val="Default"/>
        <w:rPr>
          <w:rFonts w:ascii="Times New Roman" w:hAnsi="Times New Roman" w:cs="Times New Roman"/>
        </w:rPr>
      </w:pPr>
      <w:r w:rsidRPr="00DF0246">
        <w:rPr>
          <w:rFonts w:ascii="Times New Roman" w:hAnsi="Times New Roman" w:cs="Times New Roman"/>
        </w:rPr>
        <w:t xml:space="preserve">I landbrukssammenheng benyttes områdene mot øst, nord og sør til beite for bufe. I hovedsak er det sau som beiter disse områdene. I dag er det satt opp beitegjerde langs </w:t>
      </w:r>
      <w:r w:rsidR="00834B42">
        <w:rPr>
          <w:rFonts w:ascii="Times New Roman" w:hAnsi="Times New Roman" w:cs="Times New Roman"/>
        </w:rPr>
        <w:t>Fv.</w:t>
      </w:r>
      <w:r w:rsidR="00617F9F">
        <w:rPr>
          <w:rFonts w:ascii="Times New Roman" w:hAnsi="Times New Roman" w:cs="Times New Roman"/>
        </w:rPr>
        <w:t xml:space="preserve"> </w:t>
      </w:r>
      <w:r w:rsidRPr="00DF0246">
        <w:rPr>
          <w:rFonts w:ascii="Times New Roman" w:hAnsi="Times New Roman" w:cs="Times New Roman"/>
        </w:rPr>
        <w:t>91</w:t>
      </w:r>
      <w:r w:rsidR="00617F9F">
        <w:rPr>
          <w:rFonts w:ascii="Times New Roman" w:hAnsi="Times New Roman" w:cs="Times New Roman"/>
        </w:rPr>
        <w:t xml:space="preserve"> </w:t>
      </w:r>
      <w:r w:rsidRPr="00DF0246">
        <w:rPr>
          <w:rFonts w:ascii="Times New Roman" w:hAnsi="Times New Roman" w:cs="Times New Roman"/>
        </w:rPr>
        <w:t>fra fylkesveien (vest for Ty</w:t>
      </w:r>
      <w:r w:rsidR="00617F9F">
        <w:rPr>
          <w:rFonts w:ascii="Times New Roman" w:hAnsi="Times New Roman" w:cs="Times New Roman"/>
        </w:rPr>
        <w:t>t</w:t>
      </w:r>
      <w:r w:rsidRPr="00DF0246">
        <w:rPr>
          <w:rFonts w:ascii="Times New Roman" w:hAnsi="Times New Roman" w:cs="Times New Roman"/>
        </w:rPr>
        <w:t>tebæraksla) opp til Ty</w:t>
      </w:r>
      <w:r w:rsidR="00617F9F">
        <w:rPr>
          <w:rFonts w:ascii="Times New Roman" w:hAnsi="Times New Roman" w:cs="Times New Roman"/>
        </w:rPr>
        <w:t>t</w:t>
      </w:r>
      <w:r w:rsidRPr="00DF0246">
        <w:rPr>
          <w:rFonts w:ascii="Times New Roman" w:hAnsi="Times New Roman" w:cs="Times New Roman"/>
        </w:rPr>
        <w:t>tebærelva i nord. Utvidelse av BSM1 vil ikke medføre bortfall av svært godt beite, men vil gi bortfall av ca. 58 daa godt beite og</w:t>
      </w:r>
      <w:r w:rsidR="00617F9F">
        <w:rPr>
          <w:rFonts w:ascii="Times New Roman" w:hAnsi="Times New Roman" w:cs="Times New Roman"/>
        </w:rPr>
        <w:t xml:space="preserve"> ca. 164 daa mindre godt beite.</w:t>
      </w:r>
    </w:p>
    <w:p w:rsidR="00617F9F" w:rsidRPr="00DF0246" w:rsidRDefault="00617F9F" w:rsidP="00DF0246">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8F4F6B">
        <w:rPr>
          <w:rFonts w:ascii="Times New Roman" w:hAnsi="Times New Roman" w:cs="Times New Roman"/>
          <w:b/>
          <w:bCs/>
          <w:i/>
        </w:rPr>
        <w:t>Avbøtende tiltak</w:t>
      </w:r>
      <w:r w:rsidR="00617F9F" w:rsidRPr="008F4F6B">
        <w:rPr>
          <w:rFonts w:ascii="Times New Roman" w:hAnsi="Times New Roman" w:cs="Times New Roman"/>
          <w:b/>
          <w:i/>
        </w:rPr>
        <w:t>:</w:t>
      </w:r>
      <w:r w:rsidR="007E3EC0">
        <w:rPr>
          <w:rFonts w:ascii="Times New Roman" w:hAnsi="Times New Roman" w:cs="Times New Roman"/>
          <w:i/>
        </w:rPr>
        <w:t xml:space="preserve"> </w:t>
      </w:r>
      <w:r w:rsidRPr="00DF0246">
        <w:rPr>
          <w:rFonts w:ascii="Times New Roman" w:hAnsi="Times New Roman" w:cs="Times New Roman"/>
        </w:rPr>
        <w:t>KU-reindrift har forslag til avbøtende tiltak som vil bedre forholdene for reindriftas bruk av flyttleia. Ett tiltak vil være at det settes opp sikringsgjerde mellom uttaksområdet og tilstøtende områder. Et annet tiltak vil være at området med tidligere uttak av grus</w:t>
      </w:r>
      <w:r w:rsidR="00617F9F">
        <w:rPr>
          <w:rFonts w:ascii="Times New Roman" w:hAnsi="Times New Roman" w:cs="Times New Roman"/>
        </w:rPr>
        <w:t>,</w:t>
      </w:r>
      <w:r w:rsidRPr="00DF0246">
        <w:rPr>
          <w:rFonts w:ascii="Times New Roman" w:hAnsi="Times New Roman" w:cs="Times New Roman"/>
        </w:rPr>
        <w:t xml:space="preserve"> (</w:t>
      </w:r>
      <w:r w:rsidR="00617F9F">
        <w:rPr>
          <w:rFonts w:ascii="Times New Roman" w:hAnsi="Times New Roman" w:cs="Times New Roman"/>
        </w:rPr>
        <w:t xml:space="preserve">område nr. </w:t>
      </w:r>
      <w:r w:rsidRPr="00DF0246">
        <w:rPr>
          <w:rFonts w:ascii="Times New Roman" w:hAnsi="Times New Roman" w:cs="Times New Roman"/>
        </w:rPr>
        <w:t>1)</w:t>
      </w:r>
      <w:r w:rsidR="00617F9F">
        <w:rPr>
          <w:rFonts w:ascii="Times New Roman" w:hAnsi="Times New Roman" w:cs="Times New Roman"/>
        </w:rPr>
        <w:t>,</w:t>
      </w:r>
      <w:r w:rsidRPr="00DF0246">
        <w:rPr>
          <w:rFonts w:ascii="Times New Roman" w:hAnsi="Times New Roman" w:cs="Times New Roman"/>
        </w:rPr>
        <w:t xml:space="preserve"> arronderes og istandsettes. Et tredje tiltak vil være å flytte dagens parkering</w:t>
      </w:r>
      <w:r w:rsidR="00617F9F">
        <w:rPr>
          <w:rFonts w:ascii="Times New Roman" w:hAnsi="Times New Roman" w:cs="Times New Roman"/>
        </w:rPr>
        <w:t>, (benyttes</w:t>
      </w:r>
      <w:r w:rsidRPr="00DF0246">
        <w:rPr>
          <w:rFonts w:ascii="Times New Roman" w:hAnsi="Times New Roman" w:cs="Times New Roman"/>
        </w:rPr>
        <w:t xml:space="preserve"> av turgåere</w:t>
      </w:r>
      <w:r w:rsidR="00617F9F">
        <w:rPr>
          <w:rFonts w:ascii="Times New Roman" w:hAnsi="Times New Roman" w:cs="Times New Roman"/>
        </w:rPr>
        <w:t>)</w:t>
      </w:r>
      <w:r w:rsidRPr="00DF0246">
        <w:rPr>
          <w:rFonts w:ascii="Times New Roman" w:hAnsi="Times New Roman" w:cs="Times New Roman"/>
        </w:rPr>
        <w:t xml:space="preserve">, til området nord for (og i tilknytning til) BN1. Et fjerde tiltak vil være å stoppe all aktivitet i steinbruddet når flytting av rein pågår. </w:t>
      </w:r>
    </w:p>
    <w:p w:rsidR="00617F9F" w:rsidRDefault="00617F9F" w:rsidP="00DF0246">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DF0246">
        <w:rPr>
          <w:rFonts w:ascii="Times New Roman" w:hAnsi="Times New Roman" w:cs="Times New Roman"/>
        </w:rPr>
        <w:t xml:space="preserve">For landbruket sin del vil oppsett av beitegjerde øst, nord og vest for arealene til massetak, næringsbebyggelse og parkering, bedre forholdene for beitedyrene. I tillegg vil en arrondering </w:t>
      </w:r>
      <w:r w:rsidRPr="00DF0246">
        <w:rPr>
          <w:rFonts w:ascii="Times New Roman" w:hAnsi="Times New Roman" w:cs="Times New Roman"/>
        </w:rPr>
        <w:lastRenderedPageBreak/>
        <w:t xml:space="preserve">og istandsetting av område </w:t>
      </w:r>
      <w:r w:rsidR="00617F9F">
        <w:rPr>
          <w:rFonts w:ascii="Times New Roman" w:hAnsi="Times New Roman" w:cs="Times New Roman"/>
        </w:rPr>
        <w:t xml:space="preserve">nr. </w:t>
      </w:r>
      <w:r w:rsidRPr="00DF0246">
        <w:rPr>
          <w:rFonts w:ascii="Times New Roman" w:hAnsi="Times New Roman" w:cs="Times New Roman"/>
        </w:rPr>
        <w:t xml:space="preserve">1, på sikt, gi beitemuligheter i dette området når naturlig vegetasjon etableres. </w:t>
      </w:r>
    </w:p>
    <w:p w:rsidR="00617F9F" w:rsidRDefault="00617F9F" w:rsidP="00DF0246">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DF0246">
        <w:rPr>
          <w:rFonts w:ascii="Times New Roman" w:hAnsi="Times New Roman" w:cs="Times New Roman"/>
        </w:rPr>
        <w:t>Inngjerdingen vil også medføre at dagens beitegjerde kan fjernes fra uttaksområdet i nord og fram til Tyt</w:t>
      </w:r>
      <w:r w:rsidR="00617F9F">
        <w:rPr>
          <w:rFonts w:ascii="Times New Roman" w:hAnsi="Times New Roman" w:cs="Times New Roman"/>
        </w:rPr>
        <w:t>t</w:t>
      </w:r>
      <w:r w:rsidRPr="00DF0246">
        <w:rPr>
          <w:rFonts w:ascii="Times New Roman" w:hAnsi="Times New Roman" w:cs="Times New Roman"/>
        </w:rPr>
        <w:t xml:space="preserve">ebærelva. Dette vil medføre frigivelse av (et bredere) område til flyttleia for rein. </w:t>
      </w:r>
    </w:p>
    <w:p w:rsidR="00617F9F" w:rsidRDefault="00617F9F" w:rsidP="00DF0246">
      <w:pPr>
        <w:pStyle w:val="Default"/>
        <w:rPr>
          <w:rFonts w:ascii="Times New Roman" w:hAnsi="Times New Roman" w:cs="Times New Roman"/>
          <w:b/>
          <w:bCs/>
        </w:rPr>
      </w:pPr>
    </w:p>
    <w:p w:rsidR="00DF0246" w:rsidRPr="008F4F6B" w:rsidRDefault="00DF0246" w:rsidP="00DF0246">
      <w:pPr>
        <w:pStyle w:val="Default"/>
        <w:rPr>
          <w:rFonts w:ascii="Times New Roman" w:hAnsi="Times New Roman" w:cs="Times New Roman"/>
          <w:b/>
          <w:i/>
        </w:rPr>
      </w:pPr>
      <w:r w:rsidRPr="008F4F6B">
        <w:rPr>
          <w:rFonts w:ascii="Times New Roman" w:hAnsi="Times New Roman" w:cs="Times New Roman"/>
          <w:b/>
          <w:bCs/>
          <w:i/>
        </w:rPr>
        <w:t xml:space="preserve">Friluftsliv </w:t>
      </w:r>
    </w:p>
    <w:p w:rsidR="00DF0246" w:rsidRPr="00DF0246" w:rsidRDefault="00DF0246" w:rsidP="00DF0246">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rPr>
      </w:pPr>
      <w:r w:rsidRPr="00DF0246">
        <w:rPr>
          <w:rFonts w:ascii="Times New Roman" w:hAnsi="Times New Roman" w:cs="Times New Roman"/>
        </w:rPr>
        <w:t xml:space="preserve">Områder som brukes i friluftsammenheng er landområdene mellom </w:t>
      </w:r>
      <w:r w:rsidR="00834B42">
        <w:rPr>
          <w:rFonts w:ascii="Times New Roman" w:hAnsi="Times New Roman" w:cs="Times New Roman"/>
        </w:rPr>
        <w:t>Fv.</w:t>
      </w:r>
      <w:r w:rsidR="00617F9F">
        <w:rPr>
          <w:rFonts w:ascii="Times New Roman" w:hAnsi="Times New Roman" w:cs="Times New Roman"/>
        </w:rPr>
        <w:t xml:space="preserve"> </w:t>
      </w:r>
      <w:r w:rsidRPr="00DF0246">
        <w:rPr>
          <w:rFonts w:ascii="Times New Roman" w:hAnsi="Times New Roman" w:cs="Times New Roman"/>
        </w:rPr>
        <w:t>91 og sjøen. Disse benyttes til friluftsaktiviteter som fiske og rekreasjon. Tidligere område for grusuttak</w:t>
      </w:r>
      <w:r w:rsidR="00617F9F">
        <w:rPr>
          <w:rFonts w:ascii="Times New Roman" w:hAnsi="Times New Roman" w:cs="Times New Roman"/>
        </w:rPr>
        <w:t>,</w:t>
      </w:r>
      <w:r w:rsidRPr="00DF0246">
        <w:rPr>
          <w:rFonts w:ascii="Times New Roman" w:hAnsi="Times New Roman" w:cs="Times New Roman"/>
        </w:rPr>
        <w:t xml:space="preserve"> (</w:t>
      </w:r>
      <w:r w:rsidR="00617F9F">
        <w:rPr>
          <w:rFonts w:ascii="Times New Roman" w:hAnsi="Times New Roman" w:cs="Times New Roman"/>
        </w:rPr>
        <w:t xml:space="preserve">område nr. </w:t>
      </w:r>
      <w:r w:rsidRPr="00DF0246">
        <w:rPr>
          <w:rFonts w:ascii="Times New Roman" w:hAnsi="Times New Roman" w:cs="Times New Roman"/>
        </w:rPr>
        <w:t>1)</w:t>
      </w:r>
      <w:r w:rsidR="00617F9F">
        <w:rPr>
          <w:rFonts w:ascii="Times New Roman" w:hAnsi="Times New Roman" w:cs="Times New Roman"/>
        </w:rPr>
        <w:t>,</w:t>
      </w:r>
      <w:r w:rsidRPr="00DF0246">
        <w:rPr>
          <w:rFonts w:ascii="Times New Roman" w:hAnsi="Times New Roman" w:cs="Times New Roman"/>
        </w:rPr>
        <w:t xml:space="preserve"> benyttes for parkering av kjøretøy for utøvelse av friluftsliv. Sjøområdet, øst for dagens kai, brukes som ankringsplass for enkelte fritidsbåter. </w:t>
      </w:r>
    </w:p>
    <w:p w:rsidR="00617F9F" w:rsidRDefault="00617F9F" w:rsidP="00DF0246">
      <w:pPr>
        <w:pStyle w:val="Default"/>
        <w:rPr>
          <w:rFonts w:ascii="Times New Roman" w:hAnsi="Times New Roman" w:cs="Times New Roman"/>
          <w:b/>
          <w:bCs/>
        </w:rPr>
      </w:pPr>
    </w:p>
    <w:p w:rsidR="00617F9F" w:rsidRDefault="00DF0246" w:rsidP="00617F9F">
      <w:pPr>
        <w:pStyle w:val="Default"/>
        <w:rPr>
          <w:rFonts w:ascii="Times New Roman" w:hAnsi="Times New Roman" w:cs="Times New Roman"/>
        </w:rPr>
      </w:pPr>
      <w:r w:rsidRPr="008F4F6B">
        <w:rPr>
          <w:rFonts w:ascii="Times New Roman" w:hAnsi="Times New Roman" w:cs="Times New Roman"/>
          <w:b/>
          <w:bCs/>
          <w:i/>
        </w:rPr>
        <w:t>Avbøtende tiltak</w:t>
      </w:r>
      <w:r w:rsidRPr="008F4F6B">
        <w:rPr>
          <w:rFonts w:ascii="Times New Roman" w:hAnsi="Times New Roman" w:cs="Times New Roman"/>
          <w:b/>
          <w:i/>
        </w:rPr>
        <w:t>:</w:t>
      </w:r>
      <w:r w:rsidRPr="007E3EC0">
        <w:rPr>
          <w:rFonts w:ascii="Times New Roman" w:hAnsi="Times New Roman" w:cs="Times New Roman"/>
          <w:i/>
        </w:rPr>
        <w:t xml:space="preserve"> </w:t>
      </w:r>
      <w:r w:rsidRPr="00DF0246">
        <w:rPr>
          <w:rFonts w:ascii="Times New Roman" w:hAnsi="Times New Roman" w:cs="Times New Roman"/>
        </w:rPr>
        <w:t>Landområdene som i dag benyttes i friluftsammenheng, sikres ved at disse reguleres med hensynsone friluftsliv. Friluftsliv vil således være det førende for arealbruken.</w:t>
      </w:r>
    </w:p>
    <w:p w:rsidR="00617F9F" w:rsidRDefault="00617F9F" w:rsidP="00617F9F">
      <w:pPr>
        <w:pStyle w:val="Default"/>
        <w:rPr>
          <w:rFonts w:ascii="Times New Roman" w:hAnsi="Times New Roman" w:cs="Times New Roman"/>
        </w:rPr>
      </w:pPr>
    </w:p>
    <w:p w:rsidR="00DF0246" w:rsidRPr="00DF0246" w:rsidRDefault="00DF0246" w:rsidP="00DF0246">
      <w:pPr>
        <w:pStyle w:val="Default"/>
        <w:rPr>
          <w:rFonts w:ascii="Times New Roman" w:hAnsi="Times New Roman" w:cs="Times New Roman"/>
          <w:color w:val="auto"/>
        </w:rPr>
      </w:pPr>
      <w:r w:rsidRPr="00DF0246">
        <w:rPr>
          <w:rFonts w:ascii="Times New Roman" w:hAnsi="Times New Roman" w:cs="Times New Roman"/>
          <w:color w:val="auto"/>
        </w:rPr>
        <w:t>Sjøområdene øst for havn- og kaiområde reguleres til friluftsområde i sjø og vassdrag. Dette ivaretar dagens bruk for fritidsbåter. I tillegg åpner reguleringsbestemmelsene for at det kan opparbeides flytebrygge innen dette området. Det reguleres inne en ny parkeringsplass nord for BN1. SV2 sikrer adkomst til parkeringsplassen. Parkeringsplassen vil være offentlig og kan benyttes av alle. Sør for parkeringsplassen reguleres det en turveg som kanaliserer ferdselen ut til Ty</w:t>
      </w:r>
      <w:r w:rsidR="00617F9F">
        <w:rPr>
          <w:rFonts w:ascii="Times New Roman" w:hAnsi="Times New Roman" w:cs="Times New Roman"/>
          <w:color w:val="auto"/>
        </w:rPr>
        <w:t>t</w:t>
      </w:r>
      <w:r w:rsidRPr="00DF0246">
        <w:rPr>
          <w:rFonts w:ascii="Times New Roman" w:hAnsi="Times New Roman" w:cs="Times New Roman"/>
          <w:color w:val="auto"/>
        </w:rPr>
        <w:t xml:space="preserve">tebærdalen og til fjellheimen. Hensynsone friluftsliv (H530_1) ivaretar områder som benyttes i friluftsammenheng. </w:t>
      </w:r>
    </w:p>
    <w:p w:rsidR="00617F9F" w:rsidRDefault="00617F9F" w:rsidP="00DF0246">
      <w:pPr>
        <w:pStyle w:val="Default"/>
        <w:rPr>
          <w:rFonts w:ascii="Times New Roman" w:hAnsi="Times New Roman" w:cs="Times New Roman"/>
          <w:b/>
          <w:bCs/>
          <w:color w:val="auto"/>
        </w:rPr>
      </w:pPr>
    </w:p>
    <w:p w:rsidR="00DF0246" w:rsidRPr="008F4F6B" w:rsidRDefault="00DF0246" w:rsidP="00DF0246">
      <w:pPr>
        <w:pStyle w:val="Default"/>
        <w:rPr>
          <w:rFonts w:ascii="Times New Roman" w:hAnsi="Times New Roman" w:cs="Times New Roman"/>
          <w:b/>
          <w:i/>
          <w:color w:val="auto"/>
        </w:rPr>
      </w:pPr>
      <w:r w:rsidRPr="008F4F6B">
        <w:rPr>
          <w:rFonts w:ascii="Times New Roman" w:hAnsi="Times New Roman" w:cs="Times New Roman"/>
          <w:b/>
          <w:bCs/>
          <w:i/>
          <w:color w:val="auto"/>
        </w:rPr>
        <w:t xml:space="preserve">Veg og parkering </w:t>
      </w:r>
    </w:p>
    <w:p w:rsidR="00DF0246" w:rsidRPr="00DF0246" w:rsidRDefault="00DF0246" w:rsidP="00DF0246">
      <w:pPr>
        <w:pStyle w:val="Default"/>
        <w:rPr>
          <w:rFonts w:ascii="Times New Roman" w:hAnsi="Times New Roman" w:cs="Times New Roman"/>
          <w:color w:val="auto"/>
        </w:rPr>
      </w:pPr>
    </w:p>
    <w:p w:rsidR="00DF0246" w:rsidRDefault="00DF0246" w:rsidP="00DF0246">
      <w:pPr>
        <w:pStyle w:val="Default"/>
        <w:rPr>
          <w:rFonts w:ascii="Times New Roman" w:hAnsi="Times New Roman" w:cs="Times New Roman"/>
          <w:color w:val="auto"/>
        </w:rPr>
      </w:pPr>
      <w:r w:rsidRPr="00DF0246">
        <w:rPr>
          <w:rFonts w:ascii="Times New Roman" w:hAnsi="Times New Roman" w:cs="Times New Roman"/>
          <w:color w:val="auto"/>
        </w:rPr>
        <w:t xml:space="preserve">Planforslaget legger opp til en omlegging/forskyvning av </w:t>
      </w:r>
      <w:r w:rsidR="00834B42">
        <w:rPr>
          <w:rFonts w:ascii="Times New Roman" w:hAnsi="Times New Roman" w:cs="Times New Roman"/>
          <w:color w:val="auto"/>
        </w:rPr>
        <w:t xml:space="preserve">Fv. </w:t>
      </w:r>
      <w:r w:rsidRPr="00DF0246">
        <w:rPr>
          <w:rFonts w:ascii="Times New Roman" w:hAnsi="Times New Roman" w:cs="Times New Roman"/>
          <w:color w:val="auto"/>
        </w:rPr>
        <w:t>91</w:t>
      </w:r>
      <w:r w:rsidR="00834B42">
        <w:rPr>
          <w:rFonts w:ascii="Times New Roman" w:hAnsi="Times New Roman" w:cs="Times New Roman"/>
          <w:color w:val="auto"/>
        </w:rPr>
        <w:t xml:space="preserve"> </w:t>
      </w:r>
      <w:r w:rsidRPr="00DF0246">
        <w:rPr>
          <w:rFonts w:ascii="Times New Roman" w:hAnsi="Times New Roman" w:cs="Times New Roman"/>
          <w:color w:val="auto"/>
        </w:rPr>
        <w:t>forbi den sentrale delen av planområdet. Dette vil sikre en bedre veikurvatur, ny og bredere bru over Ty</w:t>
      </w:r>
      <w:r w:rsidR="00617F9F">
        <w:rPr>
          <w:rFonts w:ascii="Times New Roman" w:hAnsi="Times New Roman" w:cs="Times New Roman"/>
          <w:color w:val="auto"/>
        </w:rPr>
        <w:t>t</w:t>
      </w:r>
      <w:r w:rsidRPr="00DF0246">
        <w:rPr>
          <w:rFonts w:ascii="Times New Roman" w:hAnsi="Times New Roman" w:cs="Times New Roman"/>
          <w:color w:val="auto"/>
        </w:rPr>
        <w:t xml:space="preserve">tebærelva, bedret avkjøring fra </w:t>
      </w:r>
      <w:r w:rsidR="00834B42">
        <w:rPr>
          <w:rFonts w:ascii="Times New Roman" w:hAnsi="Times New Roman" w:cs="Times New Roman"/>
          <w:color w:val="auto"/>
        </w:rPr>
        <w:t xml:space="preserve">Fv. </w:t>
      </w:r>
      <w:r w:rsidRPr="00DF0246">
        <w:rPr>
          <w:rFonts w:ascii="Times New Roman" w:hAnsi="Times New Roman" w:cs="Times New Roman"/>
          <w:color w:val="auto"/>
        </w:rPr>
        <w:t>91 til nøringsområdet og en planfri kryssing ut til havn-</w:t>
      </w:r>
      <w:r w:rsidR="00617F9F">
        <w:rPr>
          <w:rFonts w:ascii="Times New Roman" w:hAnsi="Times New Roman" w:cs="Times New Roman"/>
          <w:color w:val="auto"/>
        </w:rPr>
        <w:t xml:space="preserve"> og kaiområdet (se vedlegg</w:t>
      </w:r>
      <w:r w:rsidR="00834B42">
        <w:rPr>
          <w:rFonts w:ascii="Times New Roman" w:hAnsi="Times New Roman" w:cs="Times New Roman"/>
          <w:color w:val="auto"/>
        </w:rPr>
        <w:t xml:space="preserve"> – Vegberegning).</w:t>
      </w:r>
    </w:p>
    <w:p w:rsidR="00834B42" w:rsidRPr="00DF0246" w:rsidRDefault="00834B42" w:rsidP="00DF0246">
      <w:pPr>
        <w:pStyle w:val="Default"/>
        <w:rPr>
          <w:rFonts w:ascii="Times New Roman" w:hAnsi="Times New Roman" w:cs="Times New Roman"/>
          <w:color w:val="auto"/>
        </w:rPr>
      </w:pPr>
    </w:p>
    <w:p w:rsidR="00DF0246" w:rsidRDefault="00DF0246" w:rsidP="00DF0246">
      <w:pPr>
        <w:pStyle w:val="Default"/>
        <w:rPr>
          <w:rFonts w:ascii="Times New Roman" w:hAnsi="Times New Roman" w:cs="Times New Roman"/>
          <w:color w:val="auto"/>
        </w:rPr>
      </w:pPr>
      <w:r w:rsidRPr="008F4F6B">
        <w:rPr>
          <w:rFonts w:ascii="Times New Roman" w:hAnsi="Times New Roman" w:cs="Times New Roman"/>
          <w:b/>
          <w:bCs/>
          <w:i/>
          <w:color w:val="auto"/>
        </w:rPr>
        <w:t>Avbøtende tiltak</w:t>
      </w:r>
      <w:r w:rsidRPr="008F4F6B">
        <w:rPr>
          <w:rFonts w:ascii="Times New Roman" w:hAnsi="Times New Roman" w:cs="Times New Roman"/>
          <w:b/>
          <w:i/>
          <w:color w:val="auto"/>
        </w:rPr>
        <w:t>:</w:t>
      </w:r>
      <w:r w:rsidRPr="007E3EC0">
        <w:rPr>
          <w:rFonts w:ascii="Times New Roman" w:hAnsi="Times New Roman" w:cs="Times New Roman"/>
          <w:i/>
          <w:color w:val="auto"/>
        </w:rPr>
        <w:t xml:space="preserve"> </w:t>
      </w:r>
      <w:r w:rsidRPr="00DF0246">
        <w:rPr>
          <w:rFonts w:ascii="Times New Roman" w:hAnsi="Times New Roman" w:cs="Times New Roman"/>
          <w:color w:val="auto"/>
        </w:rPr>
        <w:t>Avbøtende tiltak i dag er midlertidig nedsatt fartsgrense fra 80 km/t til 50 km/t forbi uttaksområdet og brua over Ty</w:t>
      </w:r>
      <w:r w:rsidR="00617F9F">
        <w:rPr>
          <w:rFonts w:ascii="Times New Roman" w:hAnsi="Times New Roman" w:cs="Times New Roman"/>
          <w:color w:val="auto"/>
        </w:rPr>
        <w:t>t</w:t>
      </w:r>
      <w:r w:rsidRPr="00DF0246">
        <w:rPr>
          <w:rFonts w:ascii="Times New Roman" w:hAnsi="Times New Roman" w:cs="Times New Roman"/>
          <w:color w:val="auto"/>
        </w:rPr>
        <w:t xml:space="preserve">tebærelva. Dette tiltaket foreslås videreført til rekkefølgekrav infrastruktur (jf. </w:t>
      </w:r>
      <w:r w:rsidR="00834B42">
        <w:rPr>
          <w:rFonts w:ascii="Times New Roman" w:hAnsi="Times New Roman" w:cs="Times New Roman"/>
        </w:rPr>
        <w:t>planbestemmelsene</w:t>
      </w:r>
      <w:r w:rsidR="00834B42" w:rsidRPr="00DF0246">
        <w:rPr>
          <w:rFonts w:ascii="Times New Roman" w:hAnsi="Times New Roman" w:cs="Times New Roman"/>
          <w:color w:val="auto"/>
        </w:rPr>
        <w:t xml:space="preserve"> </w:t>
      </w:r>
      <w:r w:rsidRPr="00DF0246">
        <w:rPr>
          <w:rFonts w:ascii="Times New Roman" w:hAnsi="Times New Roman" w:cs="Times New Roman"/>
          <w:color w:val="auto"/>
        </w:rPr>
        <w:t>§ 2.4.1) er gjennomført. Når ny bru, avkjørsel og kulvert er etablert vil vegen tilfredsstille vegno</w:t>
      </w:r>
      <w:r w:rsidR="00617F9F">
        <w:rPr>
          <w:rFonts w:ascii="Times New Roman" w:hAnsi="Times New Roman" w:cs="Times New Roman"/>
          <w:color w:val="auto"/>
        </w:rPr>
        <w:t>rmalens krav innen planområdet.</w:t>
      </w:r>
    </w:p>
    <w:p w:rsidR="00617F9F" w:rsidRPr="00DF0246" w:rsidRDefault="00617F9F" w:rsidP="00DF0246">
      <w:pPr>
        <w:pStyle w:val="Default"/>
        <w:rPr>
          <w:rFonts w:ascii="Times New Roman" w:hAnsi="Times New Roman" w:cs="Times New Roman"/>
          <w:color w:val="auto"/>
        </w:rPr>
      </w:pPr>
    </w:p>
    <w:p w:rsidR="00DF0246" w:rsidRPr="008F4F6B" w:rsidRDefault="00DF0246" w:rsidP="00DF0246">
      <w:pPr>
        <w:pStyle w:val="Default"/>
        <w:rPr>
          <w:rFonts w:ascii="Times New Roman" w:hAnsi="Times New Roman" w:cs="Times New Roman"/>
          <w:b/>
          <w:i/>
          <w:color w:val="auto"/>
        </w:rPr>
      </w:pPr>
      <w:r w:rsidRPr="008F4F6B">
        <w:rPr>
          <w:rFonts w:ascii="Times New Roman" w:hAnsi="Times New Roman" w:cs="Times New Roman"/>
          <w:b/>
          <w:bCs/>
          <w:i/>
          <w:color w:val="auto"/>
        </w:rPr>
        <w:t xml:space="preserve">Masseressursen og uttaket </w:t>
      </w:r>
    </w:p>
    <w:p w:rsidR="00DF0246" w:rsidRPr="00DF0246" w:rsidRDefault="00DF0246" w:rsidP="00DF0246">
      <w:pPr>
        <w:pStyle w:val="Default"/>
        <w:rPr>
          <w:rFonts w:ascii="Times New Roman" w:hAnsi="Times New Roman" w:cs="Times New Roman"/>
          <w:color w:val="auto"/>
        </w:rPr>
      </w:pPr>
    </w:p>
    <w:p w:rsidR="00DF0246" w:rsidRPr="00DF0246" w:rsidRDefault="00A73F89" w:rsidP="00DF0246">
      <w:pPr>
        <w:pStyle w:val="Default"/>
        <w:rPr>
          <w:rFonts w:ascii="Times New Roman" w:hAnsi="Times New Roman" w:cs="Times New Roman"/>
          <w:color w:val="auto"/>
        </w:rPr>
      </w:pPr>
      <w:r>
        <w:rPr>
          <w:rFonts w:ascii="Times New Roman" w:hAnsi="Times New Roman" w:cs="Times New Roman"/>
          <w:color w:val="auto"/>
        </w:rPr>
        <w:t>Fra NGU`s pukkdatabase klassifiseres Tyttebærvika pr. 2016 som</w:t>
      </w:r>
      <w:r w:rsidR="00DF0246" w:rsidRPr="00DF0246">
        <w:rPr>
          <w:rFonts w:ascii="Times New Roman" w:hAnsi="Times New Roman" w:cs="Times New Roman"/>
          <w:color w:val="auto"/>
        </w:rPr>
        <w:t xml:space="preserve"> </w:t>
      </w:r>
      <w:r>
        <w:rPr>
          <w:rFonts w:ascii="Times New Roman" w:hAnsi="Times New Roman" w:cs="Times New Roman"/>
          <w:color w:val="auto"/>
        </w:rPr>
        <w:t>«</w:t>
      </w:r>
      <w:r w:rsidR="00DF0246" w:rsidRPr="00DF0246">
        <w:rPr>
          <w:rFonts w:ascii="Times New Roman" w:hAnsi="Times New Roman" w:cs="Times New Roman"/>
          <w:b/>
          <w:bCs/>
          <w:color w:val="auto"/>
        </w:rPr>
        <w:t>Regionalt viktig</w:t>
      </w:r>
      <w:r w:rsidR="00DF0246" w:rsidRPr="00DF0246">
        <w:rPr>
          <w:rFonts w:ascii="Times New Roman" w:hAnsi="Times New Roman" w:cs="Times New Roman"/>
          <w:color w:val="auto"/>
        </w:rPr>
        <w:t>»</w:t>
      </w:r>
      <w:r>
        <w:rPr>
          <w:rFonts w:ascii="Times New Roman" w:hAnsi="Times New Roman" w:cs="Times New Roman"/>
          <w:color w:val="auto"/>
        </w:rPr>
        <w:t>, men vil på sikt bli oppgradert til «</w:t>
      </w:r>
      <w:r w:rsidRPr="00A73F89">
        <w:rPr>
          <w:rFonts w:ascii="Times New Roman" w:hAnsi="Times New Roman" w:cs="Times New Roman"/>
          <w:b/>
          <w:color w:val="auto"/>
        </w:rPr>
        <w:t>Nasjonalt viktig</w:t>
      </w:r>
      <w:r>
        <w:rPr>
          <w:rFonts w:ascii="Times New Roman" w:hAnsi="Times New Roman" w:cs="Times New Roman"/>
          <w:color w:val="auto"/>
        </w:rPr>
        <w:t>» når større produksjon kommer i gang.</w:t>
      </w:r>
    </w:p>
    <w:p w:rsidR="00A73F89" w:rsidRDefault="00A73F89" w:rsidP="00DF0246">
      <w:pPr>
        <w:pStyle w:val="Default"/>
        <w:rPr>
          <w:rFonts w:ascii="Times New Roman" w:hAnsi="Times New Roman" w:cs="Times New Roman"/>
          <w:color w:val="auto"/>
        </w:rPr>
      </w:pPr>
    </w:p>
    <w:p w:rsidR="00DF0246" w:rsidRDefault="00DF0246" w:rsidP="00A73F89">
      <w:pPr>
        <w:pStyle w:val="Default"/>
        <w:rPr>
          <w:rFonts w:ascii="Times New Roman" w:hAnsi="Times New Roman" w:cs="Times New Roman"/>
          <w:color w:val="auto"/>
        </w:rPr>
      </w:pPr>
      <w:r w:rsidRPr="00DF0246">
        <w:rPr>
          <w:rFonts w:ascii="Times New Roman" w:hAnsi="Times New Roman" w:cs="Times New Roman"/>
          <w:color w:val="auto"/>
        </w:rPr>
        <w:t>Med den regulerte utvidelsen av massetaket vil dette omfatte et område på ca. 2</w:t>
      </w:r>
      <w:r w:rsidR="00A73F89">
        <w:rPr>
          <w:rFonts w:ascii="Times New Roman" w:hAnsi="Times New Roman" w:cs="Times New Roman"/>
          <w:color w:val="auto"/>
        </w:rPr>
        <w:t>50</w:t>
      </w:r>
      <w:r w:rsidRPr="00DF0246">
        <w:rPr>
          <w:rFonts w:ascii="Times New Roman" w:hAnsi="Times New Roman" w:cs="Times New Roman"/>
          <w:color w:val="auto"/>
        </w:rPr>
        <w:t xml:space="preserve"> da og gi en anslagsvis uttaksmengde på ca. 12</w:t>
      </w:r>
      <w:r w:rsidR="00A73F89">
        <w:rPr>
          <w:rFonts w:ascii="Times New Roman" w:hAnsi="Times New Roman" w:cs="Times New Roman"/>
          <w:color w:val="auto"/>
        </w:rPr>
        <w:t>,5</w:t>
      </w:r>
      <w:r w:rsidRPr="00DF0246">
        <w:rPr>
          <w:rFonts w:ascii="Times New Roman" w:hAnsi="Times New Roman" w:cs="Times New Roman"/>
          <w:color w:val="auto"/>
        </w:rPr>
        <w:t xml:space="preserve"> mill</w:t>
      </w:r>
      <w:r w:rsidR="00A73F89">
        <w:rPr>
          <w:rFonts w:ascii="Times New Roman" w:hAnsi="Times New Roman" w:cs="Times New Roman"/>
          <w:color w:val="auto"/>
        </w:rPr>
        <w:t xml:space="preserve">ioner </w:t>
      </w:r>
      <w:r w:rsidRPr="00DF0246">
        <w:rPr>
          <w:rFonts w:ascii="Times New Roman" w:hAnsi="Times New Roman" w:cs="Times New Roman"/>
          <w:color w:val="auto"/>
        </w:rPr>
        <w:t>m3</w:t>
      </w:r>
      <w:r w:rsidR="00A73F89">
        <w:rPr>
          <w:rFonts w:ascii="Times New Roman" w:hAnsi="Times New Roman" w:cs="Times New Roman"/>
          <w:color w:val="auto"/>
        </w:rPr>
        <w:t xml:space="preserve"> fast masse/ca. 37,5 millioner tonn</w:t>
      </w:r>
      <w:r w:rsidRPr="00DF0246">
        <w:rPr>
          <w:rFonts w:ascii="Times New Roman" w:hAnsi="Times New Roman" w:cs="Times New Roman"/>
          <w:color w:val="auto"/>
        </w:rPr>
        <w:t>.</w:t>
      </w:r>
      <w:r w:rsidR="00A73F89">
        <w:rPr>
          <w:rFonts w:ascii="Times New Roman" w:hAnsi="Times New Roman" w:cs="Times New Roman"/>
          <w:color w:val="auto"/>
        </w:rPr>
        <w:t xml:space="preserve"> Målsettingen til rettighetsinnehaverne i bruddet er å</w:t>
      </w:r>
      <w:r w:rsidRPr="00DF0246">
        <w:rPr>
          <w:rFonts w:ascii="Times New Roman" w:hAnsi="Times New Roman" w:cs="Times New Roman"/>
          <w:color w:val="auto"/>
        </w:rPr>
        <w:t xml:space="preserve"> øke produksjonen </w:t>
      </w:r>
      <w:r w:rsidR="00A73F89">
        <w:rPr>
          <w:rFonts w:ascii="Times New Roman" w:hAnsi="Times New Roman" w:cs="Times New Roman"/>
          <w:color w:val="auto"/>
        </w:rPr>
        <w:t>på sikt til 1 – 1,5 millioner tonn</w:t>
      </w:r>
      <w:r w:rsidRPr="00DF0246">
        <w:rPr>
          <w:rFonts w:ascii="Times New Roman" w:hAnsi="Times New Roman" w:cs="Times New Roman"/>
          <w:color w:val="auto"/>
        </w:rPr>
        <w:t xml:space="preserve"> pr</w:t>
      </w:r>
      <w:r w:rsidR="00A73F89">
        <w:rPr>
          <w:rFonts w:ascii="Times New Roman" w:hAnsi="Times New Roman" w:cs="Times New Roman"/>
          <w:color w:val="auto"/>
        </w:rPr>
        <w:t>.</w:t>
      </w:r>
      <w:r w:rsidRPr="00DF0246">
        <w:rPr>
          <w:rFonts w:ascii="Times New Roman" w:hAnsi="Times New Roman" w:cs="Times New Roman"/>
          <w:color w:val="auto"/>
        </w:rPr>
        <w:t xml:space="preserve"> år. Ved etablering/bygging av ny kai og utvidelse av havneområdet, muliggjør dette lasting av større skip enn dagens. Ferdigproduktene fra bruddet leveres i hovedsak regionalt og en mindre del til nærområdet. I regional sammenheng er det svært få massetak som har tilsvarende kvali</w:t>
      </w:r>
      <w:r w:rsidR="00A73F89">
        <w:rPr>
          <w:rFonts w:ascii="Times New Roman" w:hAnsi="Times New Roman" w:cs="Times New Roman"/>
          <w:color w:val="auto"/>
        </w:rPr>
        <w:t xml:space="preserve">tet på steinmasser </w:t>
      </w:r>
      <w:r w:rsidR="00834B42">
        <w:rPr>
          <w:rFonts w:ascii="Times New Roman" w:hAnsi="Times New Roman" w:cs="Times New Roman"/>
          <w:color w:val="auto"/>
        </w:rPr>
        <w:t>som Tyttebærvika kan</w:t>
      </w:r>
      <w:r w:rsidR="00A73F89">
        <w:rPr>
          <w:rFonts w:ascii="Times New Roman" w:hAnsi="Times New Roman" w:cs="Times New Roman"/>
          <w:color w:val="auto"/>
        </w:rPr>
        <w:t xml:space="preserve"> levere.</w:t>
      </w:r>
    </w:p>
    <w:p w:rsidR="00A73F89" w:rsidRPr="00DF0246" w:rsidRDefault="00A73F89" w:rsidP="00A73F89">
      <w:pPr>
        <w:pStyle w:val="Default"/>
        <w:rPr>
          <w:rFonts w:ascii="Times New Roman" w:hAnsi="Times New Roman" w:cs="Times New Roman"/>
          <w:color w:val="auto"/>
        </w:rPr>
      </w:pPr>
    </w:p>
    <w:p w:rsidR="00DF0246" w:rsidRDefault="00DF0246" w:rsidP="00DF0246">
      <w:pPr>
        <w:pStyle w:val="Default"/>
        <w:rPr>
          <w:rFonts w:ascii="Times New Roman" w:hAnsi="Times New Roman" w:cs="Times New Roman"/>
          <w:color w:val="auto"/>
        </w:rPr>
      </w:pPr>
      <w:r w:rsidRPr="00DF0246">
        <w:rPr>
          <w:rFonts w:ascii="Times New Roman" w:hAnsi="Times New Roman" w:cs="Times New Roman"/>
          <w:color w:val="auto"/>
        </w:rPr>
        <w:t>Det er utarbeidet en støyrapport for dagens drift og fremtidig drift av området</w:t>
      </w:r>
      <w:r w:rsidR="00A73F89">
        <w:rPr>
          <w:rFonts w:ascii="Times New Roman" w:hAnsi="Times New Roman" w:cs="Times New Roman"/>
          <w:color w:val="auto"/>
        </w:rPr>
        <w:t>.</w:t>
      </w:r>
      <w:r w:rsidRPr="00DF0246">
        <w:rPr>
          <w:rFonts w:ascii="Times New Roman" w:hAnsi="Times New Roman" w:cs="Times New Roman"/>
          <w:color w:val="auto"/>
        </w:rPr>
        <w:t xml:space="preserve"> Konklusjonen fr</w:t>
      </w:r>
      <w:r w:rsidR="00A73F89">
        <w:rPr>
          <w:rFonts w:ascii="Times New Roman" w:hAnsi="Times New Roman" w:cs="Times New Roman"/>
          <w:color w:val="auto"/>
        </w:rPr>
        <w:t>a</w:t>
      </w:r>
      <w:r w:rsidRPr="00DF0246">
        <w:rPr>
          <w:rFonts w:ascii="Times New Roman" w:hAnsi="Times New Roman" w:cs="Times New Roman"/>
          <w:color w:val="auto"/>
        </w:rPr>
        <w:t xml:space="preserve"> denne rapporten er at støy fra driften ikke vil gi uakseptable verdier for støyfølsom bebyggelse i nærheten til massetaket. Tiltaket skal forholde seg til de krav og bestemmelser som fremgår i </w:t>
      </w:r>
      <w:r w:rsidRPr="00DF0246">
        <w:rPr>
          <w:rFonts w:ascii="Times New Roman" w:hAnsi="Times New Roman" w:cs="Times New Roman"/>
          <w:color w:val="auto"/>
        </w:rPr>
        <w:lastRenderedPageBreak/>
        <w:t>forurensningsforskriftens kap</w:t>
      </w:r>
      <w:r w:rsidR="00A73F89">
        <w:rPr>
          <w:rFonts w:ascii="Times New Roman" w:hAnsi="Times New Roman" w:cs="Times New Roman"/>
          <w:color w:val="auto"/>
        </w:rPr>
        <w:t>.</w:t>
      </w:r>
      <w:r w:rsidRPr="00DF0246">
        <w:rPr>
          <w:rFonts w:ascii="Times New Roman" w:hAnsi="Times New Roman" w:cs="Times New Roman"/>
          <w:color w:val="auto"/>
        </w:rPr>
        <w:t xml:space="preserve"> 30, noe som bl.a. skal sikre at vassdrag ikke blir forurenset som følge av masseuttak</w:t>
      </w:r>
      <w:r w:rsidR="00A73F89">
        <w:rPr>
          <w:rFonts w:ascii="Times New Roman" w:hAnsi="Times New Roman" w:cs="Times New Roman"/>
          <w:color w:val="auto"/>
        </w:rPr>
        <w:t>,</w:t>
      </w:r>
      <w:r w:rsidRPr="00DF0246">
        <w:rPr>
          <w:rFonts w:ascii="Times New Roman" w:hAnsi="Times New Roman" w:cs="Times New Roman"/>
          <w:color w:val="auto"/>
        </w:rPr>
        <w:t xml:space="preserve"> (jf. planbeste</w:t>
      </w:r>
      <w:r w:rsidR="00A73F89">
        <w:rPr>
          <w:rFonts w:ascii="Times New Roman" w:hAnsi="Times New Roman" w:cs="Times New Roman"/>
          <w:color w:val="auto"/>
        </w:rPr>
        <w:t>mmelsenes § 3.1.3).</w:t>
      </w:r>
    </w:p>
    <w:p w:rsidR="00A73F89" w:rsidRPr="00DF0246" w:rsidRDefault="00A73F89" w:rsidP="00DF0246">
      <w:pPr>
        <w:pStyle w:val="Default"/>
        <w:rPr>
          <w:rFonts w:ascii="Times New Roman" w:hAnsi="Times New Roman" w:cs="Times New Roman"/>
          <w:color w:val="auto"/>
        </w:rPr>
      </w:pPr>
    </w:p>
    <w:p w:rsidR="00DF0246" w:rsidRDefault="00DF0246" w:rsidP="00DF0246">
      <w:pPr>
        <w:pStyle w:val="Default"/>
        <w:rPr>
          <w:rFonts w:ascii="Times New Roman" w:hAnsi="Times New Roman" w:cs="Times New Roman"/>
          <w:color w:val="auto"/>
        </w:rPr>
      </w:pPr>
      <w:r w:rsidRPr="00DF0246">
        <w:rPr>
          <w:rFonts w:ascii="Times New Roman" w:hAnsi="Times New Roman" w:cs="Times New Roman"/>
          <w:color w:val="auto"/>
        </w:rPr>
        <w:t>Fare for avrenning av rester av sprengstoff, olje og/eller steinstøv er en kjent problematikk både ved masseuttak, veg- og tunellbygging. Det finnes flere godt utprøvde metoder for rensing av vann fra massetak som er godkjent av overordnede myndigheter. Eksempelvis kan rensing foregå ved at alt overflatevann fra anlegget føres til sedimentasjonsbasseng i uttaksområdet. I bassenget finnes planter/alger som bryter ned de nitrøse stoffene (sprengstoffrester) før vannet kan føres til vassdrag. Dette sikrer at finstoff og forurensing fra uttaket ikke kommer ut i vassdraget. Tiltakshaver kan i tillegg pålegges jevnlig å ta vannprøver fra overflatevann fra uttaket og fra sedimentasjonsbasseng for å kontrollere vannkvaliteten. Forurensing fra driftsutstyr, og eventuell håndtering av dette, skal sikres gjennom bedriftens interne HMS-opplegg. For å sikre uttaket i forhold til beitende dyr skal uttaksområdet gjerdes inn, jf.</w:t>
      </w:r>
      <w:r w:rsidR="00834B42">
        <w:rPr>
          <w:rFonts w:ascii="Times New Roman" w:hAnsi="Times New Roman" w:cs="Times New Roman"/>
          <w:color w:val="auto"/>
        </w:rPr>
        <w:t xml:space="preserve"> </w:t>
      </w:r>
      <w:r w:rsidR="00834B42">
        <w:rPr>
          <w:rFonts w:ascii="Times New Roman" w:hAnsi="Times New Roman" w:cs="Times New Roman"/>
        </w:rPr>
        <w:t>planbestemmelsenes</w:t>
      </w:r>
      <w:r w:rsidRPr="00DF0246">
        <w:rPr>
          <w:rFonts w:ascii="Times New Roman" w:hAnsi="Times New Roman" w:cs="Times New Roman"/>
          <w:color w:val="auto"/>
        </w:rPr>
        <w:t xml:space="preserve"> §§ 3.1.2, 5.2.1 og 5.2.2. Rundt uttaksområdet skal det i hele driftsperioden være en vegetasjonsskjerm, for visuell skjerming av uttaket (jf. </w:t>
      </w:r>
      <w:r w:rsidR="00834B42">
        <w:rPr>
          <w:rFonts w:ascii="Times New Roman" w:hAnsi="Times New Roman" w:cs="Times New Roman"/>
          <w:color w:val="auto"/>
        </w:rPr>
        <w:t>p</w:t>
      </w:r>
      <w:r w:rsidR="00834B42">
        <w:rPr>
          <w:rFonts w:ascii="Times New Roman" w:hAnsi="Times New Roman" w:cs="Times New Roman"/>
        </w:rPr>
        <w:t>lanbestemmelsene</w:t>
      </w:r>
      <w:r w:rsidR="00834B42" w:rsidRPr="00DF0246">
        <w:rPr>
          <w:rFonts w:ascii="Times New Roman" w:hAnsi="Times New Roman" w:cs="Times New Roman"/>
          <w:color w:val="auto"/>
        </w:rPr>
        <w:t xml:space="preserve"> </w:t>
      </w:r>
      <w:r w:rsidRPr="00DF0246">
        <w:rPr>
          <w:rFonts w:ascii="Times New Roman" w:hAnsi="Times New Roman" w:cs="Times New Roman"/>
          <w:color w:val="auto"/>
        </w:rPr>
        <w:t>§ 5.2). Ferdig uttatt område skal gå over til formål næringsbebyggelse (jf.</w:t>
      </w:r>
      <w:r w:rsidR="00834B42" w:rsidRPr="00834B42">
        <w:rPr>
          <w:rFonts w:ascii="Times New Roman" w:hAnsi="Times New Roman" w:cs="Times New Roman"/>
        </w:rPr>
        <w:t xml:space="preserve"> </w:t>
      </w:r>
      <w:r w:rsidR="00834B42">
        <w:rPr>
          <w:rFonts w:ascii="Times New Roman" w:hAnsi="Times New Roman" w:cs="Times New Roman"/>
        </w:rPr>
        <w:t>planbestemmelsene</w:t>
      </w:r>
      <w:r w:rsidR="00834B42" w:rsidRPr="00DF0246">
        <w:rPr>
          <w:rFonts w:ascii="Times New Roman" w:hAnsi="Times New Roman" w:cs="Times New Roman"/>
          <w:color w:val="auto"/>
        </w:rPr>
        <w:t xml:space="preserve"> </w:t>
      </w:r>
      <w:r w:rsidRPr="00DF0246">
        <w:rPr>
          <w:rFonts w:ascii="Times New Roman" w:hAnsi="Times New Roman" w:cs="Times New Roman"/>
          <w:color w:val="auto"/>
        </w:rPr>
        <w:t>§ 2.4.5). Tiltaket er konsesjonspliktig og dette fanges op</w:t>
      </w:r>
      <w:r w:rsidR="007E3EC0">
        <w:rPr>
          <w:rFonts w:ascii="Times New Roman" w:hAnsi="Times New Roman" w:cs="Times New Roman"/>
          <w:color w:val="auto"/>
        </w:rPr>
        <w:t>p i planbestemmelsenes § 3.1.5.</w:t>
      </w:r>
    </w:p>
    <w:p w:rsidR="007E3EC0" w:rsidRPr="00DF0246" w:rsidRDefault="007E3EC0" w:rsidP="00DF0246">
      <w:pPr>
        <w:pStyle w:val="Default"/>
        <w:rPr>
          <w:rFonts w:ascii="Times New Roman" w:hAnsi="Times New Roman" w:cs="Times New Roman"/>
          <w:color w:val="auto"/>
        </w:rPr>
      </w:pPr>
    </w:p>
    <w:p w:rsidR="00DF0246" w:rsidRPr="008F4F6B" w:rsidRDefault="00DF0246" w:rsidP="00DF0246">
      <w:pPr>
        <w:pStyle w:val="Default"/>
        <w:rPr>
          <w:rFonts w:ascii="Times New Roman" w:hAnsi="Times New Roman" w:cs="Times New Roman"/>
          <w:b/>
          <w:i/>
          <w:color w:val="auto"/>
        </w:rPr>
      </w:pPr>
      <w:r w:rsidRPr="008F4F6B">
        <w:rPr>
          <w:rFonts w:ascii="Times New Roman" w:hAnsi="Times New Roman" w:cs="Times New Roman"/>
          <w:b/>
          <w:bCs/>
          <w:i/>
          <w:color w:val="auto"/>
        </w:rPr>
        <w:t xml:space="preserve">Konsekvenser for kommunal økonomi </w:t>
      </w:r>
    </w:p>
    <w:p w:rsidR="00DF0246" w:rsidRPr="00DF0246" w:rsidRDefault="00DF0246" w:rsidP="00DF0246">
      <w:pPr>
        <w:pStyle w:val="Default"/>
        <w:rPr>
          <w:rFonts w:ascii="Times New Roman" w:hAnsi="Times New Roman" w:cs="Times New Roman"/>
          <w:color w:val="auto"/>
        </w:rPr>
      </w:pPr>
    </w:p>
    <w:p w:rsidR="00FA0F9E" w:rsidRDefault="00DF0246" w:rsidP="00724666">
      <w:pPr>
        <w:pStyle w:val="Default"/>
        <w:rPr>
          <w:rFonts w:cs="Times New Roman"/>
          <w:color w:val="auto"/>
        </w:rPr>
      </w:pPr>
      <w:r w:rsidRPr="00DF0246">
        <w:rPr>
          <w:rFonts w:ascii="Times New Roman" w:hAnsi="Times New Roman" w:cs="Times New Roman"/>
          <w:color w:val="auto"/>
        </w:rPr>
        <w:t>Den fremtidige utvidelsen av massetaket vil omfatte en mengde på ca. 12</w:t>
      </w:r>
      <w:r w:rsidR="007E3EC0">
        <w:rPr>
          <w:rFonts w:ascii="Times New Roman" w:hAnsi="Times New Roman" w:cs="Times New Roman"/>
          <w:color w:val="auto"/>
        </w:rPr>
        <w:t>,5</w:t>
      </w:r>
      <w:r w:rsidRPr="00DF0246">
        <w:rPr>
          <w:rFonts w:ascii="Times New Roman" w:hAnsi="Times New Roman" w:cs="Times New Roman"/>
          <w:color w:val="auto"/>
        </w:rPr>
        <w:t xml:space="preserve"> mill</w:t>
      </w:r>
      <w:r w:rsidR="007E3EC0">
        <w:rPr>
          <w:rFonts w:ascii="Times New Roman" w:hAnsi="Times New Roman" w:cs="Times New Roman"/>
          <w:color w:val="auto"/>
        </w:rPr>
        <w:t>ioner m3 fast masse</w:t>
      </w:r>
      <w:r w:rsidRPr="00DF0246">
        <w:rPr>
          <w:rFonts w:ascii="Times New Roman" w:hAnsi="Times New Roman" w:cs="Times New Roman"/>
          <w:color w:val="auto"/>
        </w:rPr>
        <w:t xml:space="preserve">. Lyngen kommune </w:t>
      </w:r>
      <w:r w:rsidR="007E3EC0">
        <w:rPr>
          <w:rFonts w:ascii="Times New Roman" w:hAnsi="Times New Roman" w:cs="Times New Roman"/>
          <w:color w:val="auto"/>
        </w:rPr>
        <w:t>eier ca. 25 % av massene som gjøres tilgjengelig gjennom den utvidede planen</w:t>
      </w:r>
      <w:r w:rsidRPr="00DF0246">
        <w:rPr>
          <w:rFonts w:ascii="Times New Roman" w:hAnsi="Times New Roman" w:cs="Times New Roman"/>
          <w:color w:val="auto"/>
        </w:rPr>
        <w:t>. Inntekter fra salg vil utgjøre et positivt bidrag til den kommunale økonomien.</w:t>
      </w:r>
      <w:r w:rsidR="007E3EC0">
        <w:rPr>
          <w:rFonts w:ascii="Times New Roman" w:hAnsi="Times New Roman" w:cs="Times New Roman"/>
          <w:color w:val="auto"/>
        </w:rPr>
        <w:t xml:space="preserve"> Videre vil Lyngen kommune få varevederlagsinntekter for bruk av kommunal kai.</w:t>
      </w:r>
      <w:r w:rsidRPr="00DF0246">
        <w:rPr>
          <w:rFonts w:ascii="Times New Roman" w:hAnsi="Times New Roman" w:cs="Times New Roman"/>
          <w:color w:val="auto"/>
        </w:rPr>
        <w:t xml:space="preserve"> I tillegg vil skatt fra driftsselskap og fra arbeidere bosatt i kommunen gi skatteinntekter og andre inntekter knyttet til det å bo i kommunen. Ferdig uttatt område skal klargjøres og opparbeides til næringsbebyggelse. Salg av næringstomter vil bidra til kommunal inntekter. Ut fra dette er tiltaket positivt for den kommunale økonomien.</w:t>
      </w:r>
      <w:r w:rsidR="00724666">
        <w:rPr>
          <w:rFonts w:ascii="Times New Roman" w:hAnsi="Times New Roman" w:cs="Times New Roman"/>
          <w:color w:val="auto"/>
        </w:rPr>
        <w:t xml:space="preserve"> </w:t>
      </w:r>
    </w:p>
    <w:p w:rsidR="00FA0F9E" w:rsidRDefault="00FA0F9E" w:rsidP="00E71B0D">
      <w:pPr>
        <w:rPr>
          <w:b/>
        </w:rPr>
      </w:pPr>
    </w:p>
    <w:p w:rsidR="0082679E" w:rsidRPr="008F4F6B" w:rsidRDefault="0082679E" w:rsidP="00E71B0D">
      <w:pPr>
        <w:rPr>
          <w:b/>
          <w:i/>
        </w:rPr>
      </w:pPr>
      <w:r w:rsidRPr="008F4F6B">
        <w:rPr>
          <w:b/>
          <w:i/>
        </w:rPr>
        <w:t>Offentlig ettersyn og merknadsbehandling</w:t>
      </w:r>
    </w:p>
    <w:p w:rsidR="0082679E" w:rsidRPr="003A6BBD" w:rsidRDefault="0082679E" w:rsidP="00E71B0D">
      <w:pPr>
        <w:rPr>
          <w:b/>
        </w:rPr>
      </w:pPr>
    </w:p>
    <w:p w:rsidR="003A6BBD" w:rsidRDefault="003A6BBD" w:rsidP="003A6BBD">
      <w:pPr>
        <w:pStyle w:val="Default"/>
        <w:rPr>
          <w:rFonts w:ascii="Times New Roman" w:hAnsi="Times New Roman" w:cs="Times New Roman"/>
        </w:rPr>
      </w:pPr>
      <w:r w:rsidRPr="003A6BBD">
        <w:rPr>
          <w:rFonts w:ascii="Times New Roman" w:hAnsi="Times New Roman" w:cs="Times New Roman"/>
        </w:rPr>
        <w:t>Lyngen formannskap</w:t>
      </w:r>
      <w:r>
        <w:rPr>
          <w:rFonts w:ascii="Times New Roman" w:hAnsi="Times New Roman" w:cs="Times New Roman"/>
        </w:rPr>
        <w:t xml:space="preserve"> vedtok </w:t>
      </w:r>
      <w:r w:rsidRPr="003A6BBD">
        <w:rPr>
          <w:rFonts w:ascii="Times New Roman" w:hAnsi="Times New Roman" w:cs="Times New Roman"/>
        </w:rPr>
        <w:t xml:space="preserve">11.11.2015, </w:t>
      </w:r>
      <w:r>
        <w:rPr>
          <w:rFonts w:ascii="Times New Roman" w:hAnsi="Times New Roman" w:cs="Times New Roman"/>
        </w:rPr>
        <w:t xml:space="preserve">(FSK-sak 2015/105), </w:t>
      </w:r>
      <w:r w:rsidRPr="003A6BBD">
        <w:rPr>
          <w:rFonts w:ascii="Times New Roman" w:hAnsi="Times New Roman" w:cs="Times New Roman"/>
        </w:rPr>
        <w:t xml:space="preserve">å legge </w:t>
      </w:r>
      <w:r>
        <w:rPr>
          <w:rFonts w:ascii="Times New Roman" w:hAnsi="Times New Roman" w:cs="Times New Roman"/>
        </w:rPr>
        <w:t>d</w:t>
      </w:r>
      <w:r w:rsidRPr="003A6BBD">
        <w:rPr>
          <w:rFonts w:ascii="Times New Roman" w:hAnsi="Times New Roman" w:cs="Times New Roman"/>
        </w:rPr>
        <w:t xml:space="preserve">etaljreguleringsplan for Tyttebærvika industriområde til offentlig ettersyn. </w:t>
      </w:r>
      <w:r>
        <w:rPr>
          <w:rFonts w:ascii="Times New Roman" w:hAnsi="Times New Roman" w:cs="Times New Roman"/>
        </w:rPr>
        <w:t xml:space="preserve">Etter høringsperiodens frist for uttalelse, er det registrert </w:t>
      </w:r>
      <w:r w:rsidRPr="003A6BBD">
        <w:rPr>
          <w:rFonts w:ascii="Times New Roman" w:hAnsi="Times New Roman" w:cs="Times New Roman"/>
        </w:rPr>
        <w:t xml:space="preserve">8 innspill </w:t>
      </w:r>
      <w:r>
        <w:rPr>
          <w:rFonts w:ascii="Times New Roman" w:hAnsi="Times New Roman" w:cs="Times New Roman"/>
        </w:rPr>
        <w:t xml:space="preserve">hvorav </w:t>
      </w:r>
      <w:r w:rsidRPr="003A6BBD">
        <w:rPr>
          <w:rFonts w:ascii="Times New Roman" w:hAnsi="Times New Roman" w:cs="Times New Roman"/>
        </w:rPr>
        <w:t>6 av disse er fra offentlige instanser. I tillegg er det innkommet innspill fra to private aktører i august 2015. Disse er medtatt og kommentert på lik linje med innspill etter planforslaget som ble sendt ut til offentlig ettersyn.</w:t>
      </w:r>
    </w:p>
    <w:p w:rsidR="003A6BBD" w:rsidRDefault="003A6BBD" w:rsidP="003A6BBD">
      <w:pPr>
        <w:pStyle w:val="Default"/>
        <w:rPr>
          <w:rFonts w:ascii="Times New Roman" w:hAnsi="Times New Roman" w:cs="Times New Roman"/>
        </w:rPr>
      </w:pPr>
    </w:p>
    <w:p w:rsidR="003A6BBD" w:rsidRPr="003A6BBD" w:rsidRDefault="003A6BBD" w:rsidP="003A6BBD">
      <w:pPr>
        <w:pStyle w:val="Default"/>
        <w:rPr>
          <w:rFonts w:ascii="Times New Roman" w:hAnsi="Times New Roman" w:cs="Times New Roman"/>
          <w:b/>
        </w:rPr>
      </w:pPr>
      <w:r>
        <w:rPr>
          <w:rFonts w:ascii="Times New Roman" w:hAnsi="Times New Roman" w:cs="Times New Roman"/>
        </w:rPr>
        <w:t>Merknadsbehandlingen for detaljreguleringsplanen for Tyttebærvika håndteres i planens «Planbeskrivelse</w:t>
      </w:r>
      <w:r w:rsidR="00BC0867">
        <w:rPr>
          <w:rFonts w:ascii="Times New Roman" w:hAnsi="Times New Roman" w:cs="Times New Roman"/>
        </w:rPr>
        <w:t>sdokument</w:t>
      </w:r>
      <w:r>
        <w:rPr>
          <w:rFonts w:ascii="Times New Roman" w:hAnsi="Times New Roman" w:cs="Times New Roman"/>
        </w:rPr>
        <w:t>». For detaljert innsyn og informasjon om innkommende merknader og vurdering/håndtering av merknadene, vises det til dette dokumentet.</w:t>
      </w:r>
    </w:p>
    <w:p w:rsidR="0082679E" w:rsidRPr="003A6BBD" w:rsidRDefault="0082679E" w:rsidP="00E71B0D"/>
    <w:p w:rsidR="00E71B0D" w:rsidRPr="00E025F6" w:rsidRDefault="00E71B0D" w:rsidP="00E71B0D">
      <w:pPr>
        <w:pStyle w:val="Overskrift2"/>
        <w:rPr>
          <w:u w:val="single"/>
        </w:rPr>
      </w:pPr>
      <w:r w:rsidRPr="00E025F6">
        <w:rPr>
          <w:u w:val="single"/>
        </w:rPr>
        <w:t>Vurdering</w:t>
      </w:r>
      <w:r w:rsidR="00665619" w:rsidRPr="00E025F6">
        <w:rPr>
          <w:u w:val="single"/>
        </w:rPr>
        <w:t xml:space="preserve"> av alternativer og konsekvenser</w:t>
      </w:r>
    </w:p>
    <w:p w:rsidR="00E71B0D" w:rsidRDefault="00E71B0D" w:rsidP="00E71B0D"/>
    <w:p w:rsidR="00344159" w:rsidRDefault="00344159" w:rsidP="00E71B0D">
      <w:r>
        <w:t xml:space="preserve">Lyngen kommune har iverksatt planarbeid for å utvide driftsgrunnlaget for bergverksaktivitet i Tyttebærvika. Planen er forankret i kommunens arealplan hvor det er klarert betydelige arealer for denne type virksomhet. Dersom planen ikke vedtas, vil dette bety at det ikke vil være mulig med </w:t>
      </w:r>
      <w:r w:rsidR="00A76DAE">
        <w:t xml:space="preserve">fortsatt </w:t>
      </w:r>
      <w:r>
        <w:t>bergverksdrift i området.</w:t>
      </w:r>
      <w:r w:rsidR="00A632B2">
        <w:t xml:space="preserve"> Videre utvikling av Tyttebærvika industriområde vil også gi Lyngen kommune økte inntekter gjennom salg av stein og gjennom varevederlag for bruk av kommunens kai.</w:t>
      </w:r>
    </w:p>
    <w:p w:rsidR="00A76DAE" w:rsidRDefault="00A76DAE" w:rsidP="00E71B0D"/>
    <w:p w:rsidR="00A76DAE" w:rsidRDefault="00A76DAE" w:rsidP="00E71B0D">
      <w:r>
        <w:lastRenderedPageBreak/>
        <w:t>Vedrørende virkninger og konsekvenser for miljø, friluftsliv, primærnæringer og landskap, vil vedtak av den utvidede planen medføre til dels betydelige virkninger. Planarbeidet har imidlertid vist at de ulike virkningene av utvidelsen av bergverket er akseptable, og at de ligger innenfor plan og bygningslovens bestemmelser om oppgaver og hensyn i planlegging, (Jfr. PBL, § 3-1).</w:t>
      </w:r>
      <w:r w:rsidR="00A632B2">
        <w:t xml:space="preserve"> Dette dokumenteres bl.a. ved at sektormyndigheter med innsigelsesrett ikke har varslet om bruk av denne i tilknytning til de ulike løsninge</w:t>
      </w:r>
      <w:r w:rsidR="00BC0867">
        <w:t>ne</w:t>
      </w:r>
      <w:r w:rsidR="00A632B2">
        <w:t xml:space="preserve"> som fremmes i planen.</w:t>
      </w:r>
    </w:p>
    <w:p w:rsidR="00A632B2" w:rsidRDefault="00A632B2" w:rsidP="00E71B0D"/>
    <w:p w:rsidR="00A632B2" w:rsidRPr="000139EF" w:rsidRDefault="00A632B2" w:rsidP="00E71B0D">
      <w:r>
        <w:t xml:space="preserve">Med referanse til planens ulike dokumenter </w:t>
      </w:r>
      <w:r w:rsidR="00BC0867">
        <w:t>samt</w:t>
      </w:r>
      <w:r>
        <w:t xml:space="preserve"> plan- og bygningslovens bestemmelser, er det rådmannens tilrådning at </w:t>
      </w:r>
      <w:r w:rsidR="00827E6E">
        <w:t>Detaljreguleringsplan for Tyttebærvika Industriområde vedtas i hht.  vedlagte plankart, planbestemmelser og andre tilhørende dokumenter.</w:t>
      </w:r>
    </w:p>
    <w:sectPr w:rsidR="00A632B2" w:rsidRPr="000139EF" w:rsidSect="002C2290">
      <w:headerReference w:type="even" r:id="rId8"/>
      <w:pgSz w:w="11906" w:h="16838" w:code="9"/>
      <w:pgMar w:top="680" w:right="737" w:bottom="1588" w:left="187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4D" w:rsidRDefault="00FE414D" w:rsidP="00D13C46">
      <w:r>
        <w:separator/>
      </w:r>
    </w:p>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endnote>
  <w:endnote w:type="continuationSeparator" w:id="0">
    <w:p w:rsidR="00FE414D" w:rsidRDefault="00FE414D" w:rsidP="00D13C46">
      <w:r>
        <w:continuationSeparator/>
      </w:r>
    </w:p>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4D" w:rsidRDefault="00FE414D" w:rsidP="00D13C46">
      <w:r>
        <w:separator/>
      </w:r>
    </w:p>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footnote>
  <w:footnote w:type="continuationSeparator" w:id="0">
    <w:p w:rsidR="00FE414D" w:rsidRDefault="00FE414D" w:rsidP="00D13C46">
      <w:r>
        <w:continuationSeparator/>
      </w:r>
    </w:p>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p w:rsidR="00FE414D" w:rsidRDefault="00FE414D" w:rsidP="00D13C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EF" w:rsidRDefault="000139EF" w:rsidP="00D13C46"/>
  <w:p w:rsidR="000139EF" w:rsidRDefault="000139EF" w:rsidP="00D13C46"/>
  <w:p w:rsidR="000139EF" w:rsidRDefault="000139EF" w:rsidP="00D13C46"/>
  <w:p w:rsidR="000139EF" w:rsidRDefault="000139EF" w:rsidP="00D13C46"/>
  <w:p w:rsidR="000139EF" w:rsidRDefault="000139EF" w:rsidP="00D13C46"/>
  <w:p w:rsidR="000139EF" w:rsidRDefault="000139EF" w:rsidP="00D13C46"/>
  <w:p w:rsidR="000139EF" w:rsidRDefault="000139EF" w:rsidP="00D13C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E1F25"/>
    <w:multiLevelType w:val="multilevel"/>
    <w:tmpl w:val="6666D30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440"/>
        </w:tabs>
        <w:ind w:left="1440" w:hanging="360"/>
      </w:pPr>
      <w:rPr>
        <w:rFonts w:ascii="Tahoma" w:hAnsi="Tahoma"/>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063001"/>
    <w:multiLevelType w:val="hybridMultilevel"/>
    <w:tmpl w:val="6666D306"/>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546884"/>
    <w:multiLevelType w:val="hybridMultilevel"/>
    <w:tmpl w:val="98C414F4"/>
    <w:lvl w:ilvl="0" w:tplc="04140017">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B6D5432"/>
    <w:multiLevelType w:val="hybridMultilevel"/>
    <w:tmpl w:val="82BCC9FE"/>
    <w:lvl w:ilvl="0" w:tplc="AA202D64">
      <w:start w:val="1"/>
      <w:numFmt w:val="bullet"/>
      <w:lvlText w:val=""/>
      <w:lvlJc w:val="left"/>
      <w:pPr>
        <w:tabs>
          <w:tab w:val="num" w:pos="1080"/>
        </w:tabs>
        <w:ind w:left="1080" w:hanging="360"/>
      </w:pPr>
      <w:rPr>
        <w:rFonts w:ascii="Symbol" w:hAnsi="Symbol"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0A6169"/>
    <w:multiLevelType w:val="hybridMultilevel"/>
    <w:tmpl w:val="52B09B3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F9D315D"/>
    <w:multiLevelType w:val="hybridMultilevel"/>
    <w:tmpl w:val="FE662C62"/>
    <w:lvl w:ilvl="0" w:tplc="DAEAE208">
      <w:start w:val="38"/>
      <w:numFmt w:val="bullet"/>
      <w:lvlText w:val="-"/>
      <w:lvlJc w:val="left"/>
      <w:pPr>
        <w:tabs>
          <w:tab w:val="num" w:pos="720"/>
        </w:tabs>
        <w:ind w:left="720" w:hanging="360"/>
      </w:pPr>
      <w:rPr>
        <w:rFonts w:ascii="Tahoma" w:eastAsia="Times New Roman" w:hAnsi="Tahoma" w:cs="Tahoma"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630"/>
    <w:rsid w:val="00010418"/>
    <w:rsid w:val="000139EF"/>
    <w:rsid w:val="00044531"/>
    <w:rsid w:val="000459E0"/>
    <w:rsid w:val="00054C49"/>
    <w:rsid w:val="000566AF"/>
    <w:rsid w:val="0007438D"/>
    <w:rsid w:val="00084A72"/>
    <w:rsid w:val="000A02B0"/>
    <w:rsid w:val="000B24D5"/>
    <w:rsid w:val="000D0FDD"/>
    <w:rsid w:val="000D45FE"/>
    <w:rsid w:val="000F393F"/>
    <w:rsid w:val="00104A04"/>
    <w:rsid w:val="00116BA0"/>
    <w:rsid w:val="00117672"/>
    <w:rsid w:val="00161E10"/>
    <w:rsid w:val="001622CC"/>
    <w:rsid w:val="00170A33"/>
    <w:rsid w:val="00173FF3"/>
    <w:rsid w:val="0017402C"/>
    <w:rsid w:val="00195EC8"/>
    <w:rsid w:val="001B2851"/>
    <w:rsid w:val="001B5B1D"/>
    <w:rsid w:val="001C3736"/>
    <w:rsid w:val="001D21FE"/>
    <w:rsid w:val="001D4A71"/>
    <w:rsid w:val="001E5476"/>
    <w:rsid w:val="001F15CB"/>
    <w:rsid w:val="001F1B9D"/>
    <w:rsid w:val="001F401F"/>
    <w:rsid w:val="00207761"/>
    <w:rsid w:val="002358F8"/>
    <w:rsid w:val="002420C1"/>
    <w:rsid w:val="00244E26"/>
    <w:rsid w:val="0024769D"/>
    <w:rsid w:val="00250B12"/>
    <w:rsid w:val="00251490"/>
    <w:rsid w:val="00251FCD"/>
    <w:rsid w:val="002562A1"/>
    <w:rsid w:val="00257A25"/>
    <w:rsid w:val="00267018"/>
    <w:rsid w:val="002720A7"/>
    <w:rsid w:val="0029132D"/>
    <w:rsid w:val="0029210E"/>
    <w:rsid w:val="002A0765"/>
    <w:rsid w:val="002A4097"/>
    <w:rsid w:val="002C0D3C"/>
    <w:rsid w:val="002C2290"/>
    <w:rsid w:val="002C4A57"/>
    <w:rsid w:val="002C6652"/>
    <w:rsid w:val="002E205C"/>
    <w:rsid w:val="002E426B"/>
    <w:rsid w:val="002F1C98"/>
    <w:rsid w:val="0030373B"/>
    <w:rsid w:val="00305602"/>
    <w:rsid w:val="00305AD9"/>
    <w:rsid w:val="0034090F"/>
    <w:rsid w:val="00342438"/>
    <w:rsid w:val="00344159"/>
    <w:rsid w:val="003510EC"/>
    <w:rsid w:val="0035543E"/>
    <w:rsid w:val="00364770"/>
    <w:rsid w:val="00367769"/>
    <w:rsid w:val="0037630C"/>
    <w:rsid w:val="003913C4"/>
    <w:rsid w:val="003927D9"/>
    <w:rsid w:val="003A23AB"/>
    <w:rsid w:val="003A6BBD"/>
    <w:rsid w:val="003C1602"/>
    <w:rsid w:val="003D0277"/>
    <w:rsid w:val="003D1E56"/>
    <w:rsid w:val="003E5245"/>
    <w:rsid w:val="00407363"/>
    <w:rsid w:val="00414A86"/>
    <w:rsid w:val="00417787"/>
    <w:rsid w:val="00420851"/>
    <w:rsid w:val="00430408"/>
    <w:rsid w:val="004345A7"/>
    <w:rsid w:val="004409EE"/>
    <w:rsid w:val="00450A78"/>
    <w:rsid w:val="004661EA"/>
    <w:rsid w:val="00467287"/>
    <w:rsid w:val="00477343"/>
    <w:rsid w:val="00480852"/>
    <w:rsid w:val="00485210"/>
    <w:rsid w:val="004B085C"/>
    <w:rsid w:val="004C414E"/>
    <w:rsid w:val="004D00EC"/>
    <w:rsid w:val="004D705F"/>
    <w:rsid w:val="004E1BCF"/>
    <w:rsid w:val="004E22A4"/>
    <w:rsid w:val="004E75DF"/>
    <w:rsid w:val="004E77E8"/>
    <w:rsid w:val="004F1F2D"/>
    <w:rsid w:val="00507BA5"/>
    <w:rsid w:val="00511D8D"/>
    <w:rsid w:val="00514328"/>
    <w:rsid w:val="005146B5"/>
    <w:rsid w:val="00516C07"/>
    <w:rsid w:val="00534E22"/>
    <w:rsid w:val="00540663"/>
    <w:rsid w:val="00540A73"/>
    <w:rsid w:val="00544504"/>
    <w:rsid w:val="00566C18"/>
    <w:rsid w:val="00574458"/>
    <w:rsid w:val="00597508"/>
    <w:rsid w:val="00597EF4"/>
    <w:rsid w:val="005A2F13"/>
    <w:rsid w:val="005D4510"/>
    <w:rsid w:val="005D59DA"/>
    <w:rsid w:val="005D6C56"/>
    <w:rsid w:val="005F3C82"/>
    <w:rsid w:val="00617F9F"/>
    <w:rsid w:val="00664954"/>
    <w:rsid w:val="00665619"/>
    <w:rsid w:val="00676688"/>
    <w:rsid w:val="006863C5"/>
    <w:rsid w:val="006A0E78"/>
    <w:rsid w:val="006A7993"/>
    <w:rsid w:val="006C1375"/>
    <w:rsid w:val="006C7826"/>
    <w:rsid w:val="006D2821"/>
    <w:rsid w:val="006F6F29"/>
    <w:rsid w:val="00710091"/>
    <w:rsid w:val="0071353E"/>
    <w:rsid w:val="00722AD3"/>
    <w:rsid w:val="00724666"/>
    <w:rsid w:val="007270A0"/>
    <w:rsid w:val="00756468"/>
    <w:rsid w:val="00760F53"/>
    <w:rsid w:val="00765ABC"/>
    <w:rsid w:val="007677C3"/>
    <w:rsid w:val="0079179C"/>
    <w:rsid w:val="007976A9"/>
    <w:rsid w:val="007A12CE"/>
    <w:rsid w:val="007C39F7"/>
    <w:rsid w:val="007E3EC0"/>
    <w:rsid w:val="007E4772"/>
    <w:rsid w:val="007F0662"/>
    <w:rsid w:val="007F715F"/>
    <w:rsid w:val="00825D0D"/>
    <w:rsid w:val="0082679E"/>
    <w:rsid w:val="00827E6E"/>
    <w:rsid w:val="00830387"/>
    <w:rsid w:val="008336D4"/>
    <w:rsid w:val="00834B42"/>
    <w:rsid w:val="00846D4B"/>
    <w:rsid w:val="00854646"/>
    <w:rsid w:val="0086014D"/>
    <w:rsid w:val="00860321"/>
    <w:rsid w:val="00866FE3"/>
    <w:rsid w:val="008777D8"/>
    <w:rsid w:val="0089688C"/>
    <w:rsid w:val="008A06D2"/>
    <w:rsid w:val="008B0195"/>
    <w:rsid w:val="008C07CA"/>
    <w:rsid w:val="008C1EE5"/>
    <w:rsid w:val="008F4F6B"/>
    <w:rsid w:val="00907F3C"/>
    <w:rsid w:val="00922A61"/>
    <w:rsid w:val="00926A17"/>
    <w:rsid w:val="009303F5"/>
    <w:rsid w:val="00936B86"/>
    <w:rsid w:val="00940BB0"/>
    <w:rsid w:val="009508E4"/>
    <w:rsid w:val="009522C5"/>
    <w:rsid w:val="0095603C"/>
    <w:rsid w:val="00961E95"/>
    <w:rsid w:val="0096361C"/>
    <w:rsid w:val="0096789F"/>
    <w:rsid w:val="00985920"/>
    <w:rsid w:val="009A6007"/>
    <w:rsid w:val="009B1572"/>
    <w:rsid w:val="009B28F2"/>
    <w:rsid w:val="009C6FA0"/>
    <w:rsid w:val="009D7770"/>
    <w:rsid w:val="009E0757"/>
    <w:rsid w:val="009E54DF"/>
    <w:rsid w:val="009E733B"/>
    <w:rsid w:val="009F1D1D"/>
    <w:rsid w:val="00A02DF6"/>
    <w:rsid w:val="00A04D80"/>
    <w:rsid w:val="00A059D2"/>
    <w:rsid w:val="00A217B4"/>
    <w:rsid w:val="00A266C6"/>
    <w:rsid w:val="00A26ED6"/>
    <w:rsid w:val="00A3213E"/>
    <w:rsid w:val="00A36D7E"/>
    <w:rsid w:val="00A632B2"/>
    <w:rsid w:val="00A70630"/>
    <w:rsid w:val="00A73F89"/>
    <w:rsid w:val="00A76DAE"/>
    <w:rsid w:val="00A91557"/>
    <w:rsid w:val="00AA5F27"/>
    <w:rsid w:val="00AB1B8F"/>
    <w:rsid w:val="00AB5B41"/>
    <w:rsid w:val="00AC29DA"/>
    <w:rsid w:val="00AD133A"/>
    <w:rsid w:val="00AD36BA"/>
    <w:rsid w:val="00AD7BE5"/>
    <w:rsid w:val="00AF4864"/>
    <w:rsid w:val="00B03841"/>
    <w:rsid w:val="00B03AB0"/>
    <w:rsid w:val="00B116B9"/>
    <w:rsid w:val="00B37A60"/>
    <w:rsid w:val="00B40816"/>
    <w:rsid w:val="00B41859"/>
    <w:rsid w:val="00B424D1"/>
    <w:rsid w:val="00B45525"/>
    <w:rsid w:val="00B50710"/>
    <w:rsid w:val="00B56DB6"/>
    <w:rsid w:val="00B63B67"/>
    <w:rsid w:val="00B63C04"/>
    <w:rsid w:val="00B72411"/>
    <w:rsid w:val="00B83366"/>
    <w:rsid w:val="00BB6554"/>
    <w:rsid w:val="00BC0867"/>
    <w:rsid w:val="00BD4967"/>
    <w:rsid w:val="00BE7A22"/>
    <w:rsid w:val="00C12AF2"/>
    <w:rsid w:val="00C1529F"/>
    <w:rsid w:val="00C23953"/>
    <w:rsid w:val="00C24AC5"/>
    <w:rsid w:val="00C3188C"/>
    <w:rsid w:val="00C3196C"/>
    <w:rsid w:val="00C32E3E"/>
    <w:rsid w:val="00C45570"/>
    <w:rsid w:val="00C52557"/>
    <w:rsid w:val="00C61F47"/>
    <w:rsid w:val="00C64706"/>
    <w:rsid w:val="00C72AE3"/>
    <w:rsid w:val="00C87F9A"/>
    <w:rsid w:val="00C97236"/>
    <w:rsid w:val="00CB6098"/>
    <w:rsid w:val="00CB73D9"/>
    <w:rsid w:val="00CC6ECF"/>
    <w:rsid w:val="00CD7BF7"/>
    <w:rsid w:val="00CE140C"/>
    <w:rsid w:val="00CE70E6"/>
    <w:rsid w:val="00D06396"/>
    <w:rsid w:val="00D0780D"/>
    <w:rsid w:val="00D113E5"/>
    <w:rsid w:val="00D13C46"/>
    <w:rsid w:val="00D24BAB"/>
    <w:rsid w:val="00D41DED"/>
    <w:rsid w:val="00D44A28"/>
    <w:rsid w:val="00D46DEF"/>
    <w:rsid w:val="00D518DB"/>
    <w:rsid w:val="00D52C2E"/>
    <w:rsid w:val="00D62015"/>
    <w:rsid w:val="00D76DAA"/>
    <w:rsid w:val="00D80168"/>
    <w:rsid w:val="00D90D9B"/>
    <w:rsid w:val="00D91E88"/>
    <w:rsid w:val="00D96A68"/>
    <w:rsid w:val="00DA3776"/>
    <w:rsid w:val="00DE0A91"/>
    <w:rsid w:val="00DF0246"/>
    <w:rsid w:val="00E025F6"/>
    <w:rsid w:val="00E14C32"/>
    <w:rsid w:val="00E26A45"/>
    <w:rsid w:val="00E35338"/>
    <w:rsid w:val="00E60191"/>
    <w:rsid w:val="00E60A87"/>
    <w:rsid w:val="00E65FF6"/>
    <w:rsid w:val="00E71B0D"/>
    <w:rsid w:val="00E77939"/>
    <w:rsid w:val="00E87647"/>
    <w:rsid w:val="00E96CC5"/>
    <w:rsid w:val="00EA0643"/>
    <w:rsid w:val="00EA17CF"/>
    <w:rsid w:val="00EA26D2"/>
    <w:rsid w:val="00EA56E0"/>
    <w:rsid w:val="00EA57AF"/>
    <w:rsid w:val="00EB08ED"/>
    <w:rsid w:val="00EC2431"/>
    <w:rsid w:val="00ED2E74"/>
    <w:rsid w:val="00EE3E80"/>
    <w:rsid w:val="00EE753A"/>
    <w:rsid w:val="00EE7C1D"/>
    <w:rsid w:val="00EF6516"/>
    <w:rsid w:val="00F01A88"/>
    <w:rsid w:val="00F3026B"/>
    <w:rsid w:val="00F3147B"/>
    <w:rsid w:val="00F4060E"/>
    <w:rsid w:val="00F44304"/>
    <w:rsid w:val="00F469D7"/>
    <w:rsid w:val="00F46A07"/>
    <w:rsid w:val="00F549D2"/>
    <w:rsid w:val="00F563BB"/>
    <w:rsid w:val="00F652C1"/>
    <w:rsid w:val="00F76C85"/>
    <w:rsid w:val="00F83774"/>
    <w:rsid w:val="00FA0F9E"/>
    <w:rsid w:val="00FA4793"/>
    <w:rsid w:val="00FB6576"/>
    <w:rsid w:val="00FC0E74"/>
    <w:rsid w:val="00FD199A"/>
    <w:rsid w:val="00FD5E62"/>
    <w:rsid w:val="00FE2C9A"/>
    <w:rsid w:val="00FE2F27"/>
    <w:rsid w:val="00FE414D"/>
    <w:rsid w:val="00FF1E1E"/>
    <w:rsid w:val="00FF3E18"/>
    <w:rsid w:val="00FF73B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68DB50-5285-4570-AC0B-8EB72E52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78"/>
    <w:rPr>
      <w:sz w:val="24"/>
      <w:szCs w:val="24"/>
    </w:rPr>
  </w:style>
  <w:style w:type="paragraph" w:styleId="Overskrift1">
    <w:name w:val="heading 1"/>
    <w:basedOn w:val="Normal"/>
    <w:next w:val="Normal"/>
    <w:qFormat/>
    <w:rsid w:val="00D91E88"/>
    <w:pPr>
      <w:keepNext/>
      <w:spacing w:before="240" w:after="240"/>
      <w:outlineLvl w:val="0"/>
    </w:pPr>
    <w:rPr>
      <w:rFonts w:cs="Arial"/>
      <w:b/>
      <w:bCs/>
      <w:kern w:val="32"/>
      <w:szCs w:val="28"/>
    </w:rPr>
  </w:style>
  <w:style w:type="paragraph" w:styleId="Overskrift2">
    <w:name w:val="heading 2"/>
    <w:basedOn w:val="Normal"/>
    <w:next w:val="Normal"/>
    <w:link w:val="Overskrift2Tegn"/>
    <w:qFormat/>
    <w:rsid w:val="0030373B"/>
    <w:pPr>
      <w:keepNext/>
      <w:spacing w:before="240" w:after="120"/>
      <w:outlineLvl w:val="1"/>
    </w:pPr>
    <w:rPr>
      <w:rFonts w:cs="Arial"/>
      <w:b/>
      <w:bCs/>
      <w:iCs/>
      <w:szCs w:val="28"/>
    </w:rPr>
  </w:style>
  <w:style w:type="paragraph" w:styleId="Overskrift3">
    <w:name w:val="heading 3"/>
    <w:basedOn w:val="Normal"/>
    <w:next w:val="Normal"/>
    <w:autoRedefine/>
    <w:qFormat/>
    <w:rsid w:val="00D13C46"/>
    <w:pPr>
      <w:keepNext/>
      <w:spacing w:before="240" w:after="120"/>
      <w:outlineLvl w:val="2"/>
    </w:pPr>
    <w:rPr>
      <w:rFonts w:cs="Arial"/>
      <w:bCs/>
      <w:i/>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C24AC5"/>
    <w:pPr>
      <w:tabs>
        <w:tab w:val="center" w:pos="4536"/>
        <w:tab w:val="right" w:pos="9072"/>
      </w:tabs>
    </w:pPr>
    <w:rPr>
      <w:sz w:val="16"/>
    </w:rPr>
  </w:style>
  <w:style w:type="paragraph" w:styleId="Bunntekst">
    <w:name w:val="footer"/>
    <w:basedOn w:val="Normal"/>
    <w:rsid w:val="003927D9"/>
    <w:pPr>
      <w:tabs>
        <w:tab w:val="center" w:pos="4536"/>
        <w:tab w:val="right" w:pos="9072"/>
      </w:tabs>
    </w:pPr>
  </w:style>
  <w:style w:type="table" w:styleId="Tabellrutenett">
    <w:name w:val="Table Grid"/>
    <w:basedOn w:val="Vanligtabell"/>
    <w:rsid w:val="00C1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485210"/>
  </w:style>
  <w:style w:type="paragraph" w:customStyle="1" w:styleId="Sakstittel1">
    <w:name w:val="Sakstittel1"/>
    <w:basedOn w:val="Overskrift1"/>
    <w:rsid w:val="00E87647"/>
  </w:style>
  <w:style w:type="paragraph" w:customStyle="1" w:styleId="Sakstittel2">
    <w:name w:val="Sakstittel2"/>
    <w:basedOn w:val="Overskrift2"/>
    <w:rsid w:val="00E87647"/>
  </w:style>
  <w:style w:type="paragraph" w:styleId="NormalWeb">
    <w:name w:val="Normal (Web)"/>
    <w:basedOn w:val="Normal"/>
    <w:rsid w:val="00940BB0"/>
    <w:pPr>
      <w:spacing w:before="100" w:beforeAutospacing="1" w:after="100" w:afterAutospacing="1"/>
    </w:pPr>
    <w:rPr>
      <w:color w:val="000000"/>
    </w:rPr>
  </w:style>
  <w:style w:type="paragraph" w:styleId="Listeavsnitt">
    <w:name w:val="List Paragraph"/>
    <w:basedOn w:val="Normal"/>
    <w:uiPriority w:val="34"/>
    <w:qFormat/>
    <w:rsid w:val="0082679E"/>
    <w:pPr>
      <w:ind w:left="720"/>
      <w:contextualSpacing/>
    </w:pPr>
  </w:style>
  <w:style w:type="paragraph" w:customStyle="1" w:styleId="Default">
    <w:name w:val="Default"/>
    <w:rsid w:val="00480852"/>
    <w:pPr>
      <w:autoSpaceDE w:val="0"/>
      <w:autoSpaceDN w:val="0"/>
      <w:adjustRightInd w:val="0"/>
    </w:pPr>
    <w:rPr>
      <w:rFonts w:ascii="Trebuchet MS" w:hAnsi="Trebuchet MS" w:cs="Trebuchet MS"/>
      <w:color w:val="000000"/>
      <w:sz w:val="24"/>
      <w:szCs w:val="24"/>
    </w:rPr>
  </w:style>
  <w:style w:type="paragraph" w:styleId="Bobletekst">
    <w:name w:val="Balloon Text"/>
    <w:basedOn w:val="Normal"/>
    <w:link w:val="BobletekstTegn"/>
    <w:semiHidden/>
    <w:unhideWhenUsed/>
    <w:rsid w:val="00FE2C9A"/>
    <w:rPr>
      <w:rFonts w:ascii="Segoe UI" w:hAnsi="Segoe UI" w:cs="Segoe UI"/>
      <w:sz w:val="18"/>
      <w:szCs w:val="18"/>
    </w:rPr>
  </w:style>
  <w:style w:type="character" w:customStyle="1" w:styleId="BobletekstTegn">
    <w:name w:val="Bobletekst Tegn"/>
    <w:basedOn w:val="Standardskriftforavsnitt"/>
    <w:link w:val="Bobletekst"/>
    <w:semiHidden/>
    <w:rsid w:val="00FE2C9A"/>
    <w:rPr>
      <w:rFonts w:ascii="Segoe UI" w:hAnsi="Segoe UI" w:cs="Segoe UI"/>
      <w:sz w:val="18"/>
      <w:szCs w:val="18"/>
    </w:rPr>
  </w:style>
  <w:style w:type="character" w:customStyle="1" w:styleId="Overskrift2Tegn">
    <w:name w:val="Overskrift 2 Tegn"/>
    <w:basedOn w:val="Standardskriftforavsnitt"/>
    <w:link w:val="Overskrift2"/>
    <w:rsid w:val="00F76C85"/>
    <w:rPr>
      <w:rFonts w:cs="Arial"/>
      <w:b/>
      <w:bCs/>
      <w:iCs/>
      <w:sz w:val="24"/>
      <w:szCs w:val="28"/>
    </w:rPr>
  </w:style>
  <w:style w:type="paragraph" w:styleId="Ingenmellomrom">
    <w:name w:val="No Spacing"/>
    <w:basedOn w:val="Normal"/>
    <w:uiPriority w:val="1"/>
    <w:qFormat/>
    <w:rsid w:val="00F76C85"/>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3747</Words>
  <Characters>23515</Characters>
  <Application>Microsoft Office Word</Application>
  <DocSecurity>4</DocSecurity>
  <Lines>195</Lines>
  <Paragraphs>54</Paragraphs>
  <ScaleCrop>false</ScaleCrop>
  <HeadingPairs>
    <vt:vector size="2" baseType="variant">
      <vt:variant>
        <vt:lpstr>Tittel</vt:lpstr>
      </vt:variant>
      <vt:variant>
        <vt:i4>1</vt:i4>
      </vt:variant>
    </vt:vector>
  </HeadingPairs>
  <TitlesOfParts>
    <vt:vector size="1" baseType="lpstr">
      <vt:lpstr>Ergo Group</vt:lpstr>
    </vt:vector>
  </TitlesOfParts>
  <Company>Gecko AS</Company>
  <LinksUpToDate>false</LinksUpToDate>
  <CharactersWithSpaces>27208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Group</dc:title>
  <dc:creator>Viggo Jørn Dale</dc:creator>
  <cp:lastModifiedBy>Bjørn Eikeland</cp:lastModifiedBy>
  <cp:revision>2</cp:revision>
  <cp:lastPrinted>2016-05-20T11:11:00Z</cp:lastPrinted>
  <dcterms:created xsi:type="dcterms:W3CDTF">2016-06-20T10:46:00Z</dcterms:created>
  <dcterms:modified xsi:type="dcterms:W3CDTF">2016-06-20T10:46:00Z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vel">
    <vt:i4>3</vt:i4>
  </property>
  <property fmtid="{D5CDD505-2E9C-101B-9397-08002B2CF9AE}" pid="3" name="JPID">
    <vt:i4>1051</vt:i4>
  </property>
  <property fmtid="{D5CDD505-2E9C-101B-9397-08002B2CF9AE}" pid="4" name="VeVersjon">
    <vt:i4>1</vt:i4>
  </property>
  <property fmtid="{D5CDD505-2E9C-101B-9397-08002B2CF9AE}" pid="5" name="VeVariant">
    <vt:lpwstr>P</vt:lpwstr>
  </property>
  <property fmtid="{D5CDD505-2E9C-101B-9397-08002B2CF9AE}" pid="6" name="MergeDataFile">
    <vt:lpwstr>\\lyngen.intern\Brukere\Hjemmekataloger\VD0110\ephorte\39432_DOCX.XML</vt:lpwstr>
  </property>
  <property fmtid="{D5CDD505-2E9C-101B-9397-08002B2CF9AE}" pid="7" name="SaksFremStilling">
    <vt:lpwstr>\\lyngen.intern\Brukere\Hjemmekataloger\II1012\ephorte\SF_39432_DOCX.XML</vt:lpwstr>
  </property>
  <property fmtid="{D5CDD505-2E9C-101B-9397-08002B2CF9AE}" pid="8" name="CheckInType">
    <vt:lpwstr>FromApplication</vt:lpwstr>
  </property>
  <property fmtid="{D5CDD505-2E9C-101B-9397-08002B2CF9AE}" pid="9" name="CheckInDocForm">
    <vt:lpwstr>http://LY-ePhorte/ephorte/shared/aspx/Default/CheckInDocForm.aspx</vt:lpwstr>
  </property>
  <property fmtid="{D5CDD505-2E9C-101B-9397-08002B2CF9AE}" pid="10" name="DokType">
    <vt:lpwstr>X</vt:lpwstr>
  </property>
  <property fmtid="{D5CDD505-2E9C-101B-9397-08002B2CF9AE}" pid="11" name="DokID">
    <vt:i4>31724</vt:i4>
  </property>
  <property fmtid="{D5CDD505-2E9C-101B-9397-08002B2CF9AE}" pid="12" name="Versjon">
    <vt:i4>1</vt:i4>
  </property>
  <property fmtid="{D5CDD505-2E9C-101B-9397-08002B2CF9AE}" pid="13" name="Variant">
    <vt:lpwstr>P</vt:lpwstr>
  </property>
  <property fmtid="{D5CDD505-2E9C-101B-9397-08002B2CF9AE}" pid="14" name="OpenMode">
    <vt:lpwstr>EditDoc</vt:lpwstr>
  </property>
  <property fmtid="{D5CDD505-2E9C-101B-9397-08002B2CF9AE}" pid="15" name="CurrentUrl">
    <vt:lpwstr>http%3a%2f%2fly-ephorte%2fephorte%2fshared%2faspx%2fdefault%2fdetails.aspx%3ff%3dViewJP%2520(UB)%26JP_ID%3d19179</vt:lpwstr>
  </property>
  <property fmtid="{D5CDD505-2E9C-101B-9397-08002B2CF9AE}" pid="16" name="WindowName">
    <vt:lpwstr>rbottom</vt:lpwstr>
  </property>
  <property fmtid="{D5CDD505-2E9C-101B-9397-08002B2CF9AE}" pid="17" name="FileName">
    <vt:lpwstr>%5c%5clyngen.intern%5cBrukere%5cHjemmekataloger%5cII1012%5cephorte%5c43617.DOCX</vt:lpwstr>
  </property>
  <property fmtid="{D5CDD505-2E9C-101B-9397-08002B2CF9AE}" pid="18" name="LinkId">
    <vt:i4>20469</vt:i4>
  </property>
</Properties>
</file>